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附件11</w:t>
      </w:r>
    </w:p>
    <w:p>
      <w:pPr>
        <w:pStyle w:val="2"/>
        <w:spacing w:line="520" w:lineRule="exact"/>
        <w:jc w:val="center"/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永州市征地范围内砂石场、预制场、砖场</w:t>
      </w:r>
    </w:p>
    <w:p>
      <w:pPr>
        <w:pStyle w:val="2"/>
        <w:spacing w:line="520" w:lineRule="exact"/>
        <w:jc w:val="center"/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补偿标准</w:t>
      </w:r>
    </w:p>
    <w:tbl>
      <w:tblPr>
        <w:tblStyle w:val="5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30"/>
        <w:gridCol w:w="1041"/>
        <w:gridCol w:w="1583"/>
        <w:gridCol w:w="1338"/>
        <w:gridCol w:w="4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2" w:hRule="atLeast"/>
          <w:tblHeader/>
          <w:jc w:val="center"/>
        </w:trPr>
        <w:tc>
          <w:tcPr>
            <w:tcW w:w="1771" w:type="dxa"/>
            <w:gridSpan w:val="2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项  目</w:t>
            </w: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规格（单位）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标准（元）</w:t>
            </w:r>
          </w:p>
        </w:tc>
        <w:tc>
          <w:tcPr>
            <w:tcW w:w="4692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备   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2943" w:hRule="atLeast"/>
          <w:jc w:val="center"/>
        </w:trPr>
        <w:tc>
          <w:tcPr>
            <w:tcW w:w="730" w:type="dxa"/>
            <w:vMerge w:val="restart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砂</w:t>
            </w:r>
          </w:p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石</w:t>
            </w:r>
          </w:p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场</w:t>
            </w:r>
          </w:p>
        </w:tc>
        <w:tc>
          <w:tcPr>
            <w:tcW w:w="1041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输送机传输皮带总长度</w:t>
            </w: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200米以下</w:t>
            </w:r>
          </w:p>
          <w:p>
            <w:pPr>
              <w:pStyle w:val="3"/>
              <w:widowControl w:val="0"/>
              <w:spacing w:line="520" w:lineRule="exact"/>
              <w:ind w:firstLine="120" w:firstLineChars="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（</w:t>
            </w:r>
            <w:r>
              <w:rPr>
                <w:rFonts w:hint="eastAsia" w:eastAsia="仿宋_GB2312"/>
                <w:color w:val="000000"/>
              </w:rPr>
              <w:t>含</w:t>
            </w:r>
            <w:r>
              <w:rPr>
                <w:rFonts w:eastAsia="仿宋_GB2312"/>
                <w:color w:val="000000"/>
              </w:rPr>
              <w:t>200米） 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200000</w:t>
            </w:r>
          </w:p>
        </w:tc>
        <w:tc>
          <w:tcPr>
            <w:tcW w:w="4692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1.合法砂石场内的机械设备拆卸、搬运、安装，交配电设备、电杆电线，场地平整和搬迁等，所有费用包干补偿。 </w:t>
            </w:r>
          </w:p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2.输送机传输皮带在200米以上的，每增加1米，增加补偿费360元。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841" w:hRule="atLeast"/>
          <w:jc w:val="center"/>
        </w:trPr>
        <w:tc>
          <w:tcPr>
            <w:tcW w:w="730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vMerge w:val="restart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停产、停业补助费</w:t>
            </w: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200米以下 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24000</w:t>
            </w:r>
          </w:p>
        </w:tc>
        <w:tc>
          <w:tcPr>
            <w:tcW w:w="4692" w:type="dxa"/>
            <w:vMerge w:val="restart"/>
            <w:noWrap/>
            <w:vAlign w:val="center"/>
          </w:tcPr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每个砂石场的停产、停业补助费按输送机传输皮带总长度包干。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823" w:hRule="atLeast"/>
          <w:jc w:val="center"/>
        </w:trPr>
        <w:tc>
          <w:tcPr>
            <w:tcW w:w="730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200—500米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36000</w:t>
            </w:r>
          </w:p>
        </w:tc>
        <w:tc>
          <w:tcPr>
            <w:tcW w:w="46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828" w:hRule="atLeast"/>
          <w:jc w:val="center"/>
        </w:trPr>
        <w:tc>
          <w:tcPr>
            <w:tcW w:w="730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500米以上 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48000</w:t>
            </w:r>
          </w:p>
        </w:tc>
        <w:tc>
          <w:tcPr>
            <w:tcW w:w="46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3956" w:hRule="atLeast"/>
          <w:jc w:val="center"/>
        </w:trPr>
        <w:tc>
          <w:tcPr>
            <w:tcW w:w="730" w:type="dxa"/>
            <w:vMerge w:val="restart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预</w:t>
            </w:r>
          </w:p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制</w:t>
            </w:r>
          </w:p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场</w:t>
            </w:r>
          </w:p>
        </w:tc>
        <w:tc>
          <w:tcPr>
            <w:tcW w:w="1041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设施</w:t>
            </w: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  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240000</w:t>
            </w:r>
          </w:p>
        </w:tc>
        <w:tc>
          <w:tcPr>
            <w:tcW w:w="4692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1.合法预制场内的机械设备拆卸、搬运、安装，交配电设备、电杆电线，水池、机井，场地平整和搬迁等，所有费用包干补偿。</w:t>
            </w:r>
          </w:p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2.用地面积不少于5亩、20厘米厚钢筋混凝土坪不少于3亩，以上两项面积任一项每减少0.5亩按该项补偿标准的10%递减。</w:t>
            </w:r>
          </w:p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3.水塔、生产成品搬迁不另外计算补偿。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730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停产、停业补助费</w:t>
            </w: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个 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54000</w:t>
            </w:r>
          </w:p>
        </w:tc>
        <w:tc>
          <w:tcPr>
            <w:tcW w:w="4692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每个预制场停产、停业补助费包干。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453" w:hRule="atLeast"/>
          <w:jc w:val="center"/>
        </w:trPr>
        <w:tc>
          <w:tcPr>
            <w:tcW w:w="730" w:type="dxa"/>
            <w:vMerge w:val="restart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砖</w:t>
            </w:r>
          </w:p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场</w:t>
            </w:r>
          </w:p>
        </w:tc>
        <w:tc>
          <w:tcPr>
            <w:tcW w:w="1041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轮窑</w:t>
            </w: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1门 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110000</w:t>
            </w:r>
          </w:p>
        </w:tc>
        <w:tc>
          <w:tcPr>
            <w:tcW w:w="4692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1.合法砖场内的机械设备拆卸、搬运、安装，交配电设备、电杆电线、水塔、水池、烟筒、机井、道路、护坡、硷坯坪，场地平整和搬迁等，所有费用包干补偿。 </w:t>
            </w:r>
          </w:p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2.用地面积不少于5亩，每减少0.5亩按该项补偿标准的10%递减。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21" w:hRule="atLeast"/>
          <w:jc w:val="center"/>
        </w:trPr>
        <w:tc>
          <w:tcPr>
            <w:tcW w:w="730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停产、停业补助费</w:t>
            </w:r>
          </w:p>
        </w:tc>
        <w:tc>
          <w:tcPr>
            <w:tcW w:w="158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1门 </w:t>
            </w:r>
          </w:p>
        </w:tc>
        <w:tc>
          <w:tcPr>
            <w:tcW w:w="1338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3100</w:t>
            </w:r>
          </w:p>
        </w:tc>
        <w:tc>
          <w:tcPr>
            <w:tcW w:w="4692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每个砖场的停产、停业补助费按轮窑的门数包干。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5" w:hRule="atLeast"/>
          <w:jc w:val="center"/>
        </w:trPr>
        <w:tc>
          <w:tcPr>
            <w:tcW w:w="1771" w:type="dxa"/>
            <w:gridSpan w:val="2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石材加工、生产、销售企业</w:t>
            </w:r>
          </w:p>
        </w:tc>
        <w:tc>
          <w:tcPr>
            <w:tcW w:w="7613" w:type="dxa"/>
            <w:gridSpan w:val="3"/>
            <w:noWrap/>
            <w:vAlign w:val="center"/>
          </w:tcPr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1.机械搬迁费（含拆装运损调试费用），按机械评估价值的10%计算。</w:t>
            </w:r>
          </w:p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2.石材搬迁费（含搬迁过程中所有费用），城市规划区范围内按130元/吨计算。</w:t>
            </w:r>
          </w:p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3.石材搬迁损耗，普通石材按评估价值的5%计算。</w:t>
            </w:r>
          </w:p>
          <w:p>
            <w:pPr>
              <w:pStyle w:val="3"/>
              <w:widowControl w:val="0"/>
              <w:spacing w:line="5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4.停产停业损失，参照房屋征收中停产停业损失标准，按石材评估价值的每月7%计算，停产停业月数按6个月计算。</w:t>
            </w:r>
          </w:p>
        </w:tc>
      </w:tr>
    </w:tbl>
    <w:p>
      <w:pPr>
        <w:pStyle w:val="3"/>
        <w:widowControl w:val="0"/>
        <w:shd w:val="clear" w:color="auto" w:fill="FFFFFF"/>
        <w:spacing w:line="520" w:lineRule="exact"/>
        <w:ind w:left="720" w:hanging="720" w:hangingChars="30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说明：合法砂石场、预制场、砖场是指经过自然资源</w:t>
      </w:r>
      <w:bookmarkStart w:id="0" w:name="_GoBack"/>
      <w:bookmarkEnd w:id="0"/>
      <w:r>
        <w:rPr>
          <w:rFonts w:eastAsia="仿宋_GB2312"/>
          <w:color w:val="000000"/>
        </w:rPr>
        <w:t>、市场监督、生态环境、应急等职能部门行政许可，并依法缴纳了国家税收；发布征收土地预公告后，未经行政许可产生的砂石场、预制场、砖场等经营场所不予补偿。</w:t>
      </w:r>
    </w:p>
    <w:p>
      <w:pPr>
        <w:widowControl w:val="0"/>
        <w:spacing w:line="560" w:lineRule="exact"/>
        <w:jc w:val="center"/>
        <w:rPr>
          <w:rFonts w:ascii="Times New Roman" w:hAnsi="Times New Roman" w:eastAsia="仿宋_GB2312" w:cs="Times New Roman"/>
          <w:bCs/>
          <w:color w:val="000000"/>
          <w:szCs w:val="21"/>
        </w:rPr>
      </w:pPr>
    </w:p>
    <w:p/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64D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F89974511E3942968A06D3B28E893BE5_12</vt:lpwstr>
  </property>
</Properties>
</file>