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附件10</w:t>
      </w:r>
    </w:p>
    <w:p>
      <w:pPr>
        <w:pStyle w:val="3"/>
        <w:widowControl w:val="0"/>
        <w:tabs>
          <w:tab w:val="center" w:pos="7001"/>
          <w:tab w:val="left" w:pos="11486"/>
        </w:tabs>
        <w:spacing w:line="520" w:lineRule="exact"/>
        <w:ind w:left="1980" w:hanging="1980" w:hangingChars="450"/>
        <w:jc w:val="center"/>
        <w:rPr>
          <w:rFonts w:eastAsia="方正小标宋简体"/>
          <w:bCs/>
          <w:color w:val="000000"/>
          <w:kern w:val="0"/>
          <w:sz w:val="44"/>
          <w:szCs w:val="44"/>
          <w:lang w:val="zh-CN"/>
        </w:rPr>
      </w:pPr>
      <w:r>
        <w:rPr>
          <w:rFonts w:eastAsia="方正小标宋简体"/>
          <w:bCs/>
          <w:color w:val="000000"/>
          <w:kern w:val="0"/>
          <w:sz w:val="44"/>
          <w:szCs w:val="44"/>
          <w:lang w:val="zh-CN"/>
        </w:rPr>
        <w:t>永州市征地范围内迁移坟墓补偿标准</w:t>
      </w:r>
    </w:p>
    <w:p>
      <w:pPr>
        <w:pStyle w:val="3"/>
        <w:widowControl w:val="0"/>
        <w:spacing w:line="520" w:lineRule="exact"/>
        <w:jc w:val="center"/>
        <w:rPr>
          <w:rFonts w:eastAsia="仿宋_GB2312"/>
          <w:color w:val="000000"/>
          <w:sz w:val="28"/>
          <w:szCs w:val="28"/>
          <w:lang w:val="zh-CN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                         </w:t>
      </w:r>
      <w:r>
        <w:rPr>
          <w:rFonts w:eastAsia="仿宋_GB2312"/>
          <w:color w:val="000000"/>
          <w:sz w:val="28"/>
          <w:szCs w:val="28"/>
          <w:lang w:val="zh-CN"/>
        </w:rPr>
        <w:t>元/</w:t>
      </w:r>
      <w:r>
        <w:rPr>
          <w:rFonts w:eastAsia="仿宋_GB2312"/>
          <w:color w:val="000000"/>
          <w:sz w:val="28"/>
          <w:szCs w:val="28"/>
        </w:rPr>
        <w:t>冢/座</w:t>
      </w:r>
    </w:p>
    <w:tbl>
      <w:tblPr>
        <w:tblStyle w:val="5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2517"/>
        <w:gridCol w:w="1849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4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51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类别名称</w:t>
            </w:r>
          </w:p>
        </w:tc>
        <w:tc>
          <w:tcPr>
            <w:tcW w:w="184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73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补偿金额（元）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atLeast"/>
          <w:jc w:val="center"/>
        </w:trPr>
        <w:tc>
          <w:tcPr>
            <w:tcW w:w="1642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坟</w:t>
            </w:r>
          </w:p>
        </w:tc>
        <w:tc>
          <w:tcPr>
            <w:tcW w:w="251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无棺</w:t>
            </w:r>
          </w:p>
        </w:tc>
        <w:tc>
          <w:tcPr>
            <w:tcW w:w="184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冢</w:t>
            </w:r>
          </w:p>
        </w:tc>
        <w:tc>
          <w:tcPr>
            <w:tcW w:w="273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642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7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有棺</w:t>
            </w:r>
          </w:p>
        </w:tc>
        <w:tc>
          <w:tcPr>
            <w:tcW w:w="1849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冢</w:t>
            </w:r>
          </w:p>
        </w:tc>
        <w:tc>
          <w:tcPr>
            <w:tcW w:w="2738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164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碑</w:t>
            </w:r>
          </w:p>
        </w:tc>
        <w:tc>
          <w:tcPr>
            <w:tcW w:w="251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座</w:t>
            </w:r>
          </w:p>
        </w:tc>
        <w:tc>
          <w:tcPr>
            <w:tcW w:w="273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1000-1500</w:t>
            </w:r>
          </w:p>
        </w:tc>
      </w:tr>
    </w:tbl>
    <w:p>
      <w:pPr>
        <w:widowControl w:val="0"/>
        <w:spacing w:line="52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备注：1.用建筑材料修缮加固的坟墓，根据所用材料类别计算补偿。</w:t>
      </w:r>
    </w:p>
    <w:p>
      <w:pPr>
        <w:widowControl w:val="0"/>
        <w:spacing w:line="520" w:lineRule="exact"/>
        <w:ind w:firstLine="840" w:firstLineChars="3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2.坟墓补偿以实际挖掘数为依据。在迁坟规定期限内迁移的，给予</w:t>
      </w:r>
    </w:p>
    <w:p>
      <w:pPr>
        <w:widowControl w:val="0"/>
        <w:spacing w:line="520" w:lineRule="exact"/>
        <w:ind w:firstLine="980" w:firstLineChars="35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500元/冢-1000元/冢的奖励。</w:t>
      </w:r>
    </w:p>
    <w:p>
      <w:pPr>
        <w:widowControl w:val="0"/>
        <w:spacing w:line="520" w:lineRule="exact"/>
        <w:ind w:firstLine="840" w:firstLineChars="3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3.委托建设单位迁移的补偿减少40%。</w:t>
      </w:r>
    </w:p>
    <w:p>
      <w:pPr>
        <w:widowControl w:val="0"/>
        <w:spacing w:line="520" w:lineRule="exact"/>
        <w:ind w:firstLine="840" w:firstLineChars="3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4.超过迁坟公告期限，逾期不迁的，由征收单位作深埋处理，不予</w:t>
      </w:r>
    </w:p>
    <w:p>
      <w:pPr>
        <w:widowControl w:val="0"/>
        <w:spacing w:line="520" w:lineRule="exact"/>
        <w:ind w:firstLine="980" w:firstLineChars="35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补偿。</w:t>
      </w:r>
    </w:p>
    <w:p>
      <w:pPr>
        <w:widowControl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5DA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AE807B0218CC48CFAD072281E8C6E87A_12</vt:lpwstr>
  </property>
</Properties>
</file>