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line="520" w:lineRule="exact"/>
        <w:jc w:val="left"/>
        <w:rPr>
          <w:rFonts w:eastAsia="黑体"/>
          <w:color w:val="000000"/>
          <w:kern w:val="0"/>
          <w:sz w:val="32"/>
          <w:szCs w:val="32"/>
          <w:lang w:val="zh-CN"/>
        </w:rPr>
      </w:pPr>
      <w:r>
        <w:rPr>
          <w:rFonts w:eastAsia="黑体"/>
          <w:color w:val="000000"/>
          <w:kern w:val="0"/>
          <w:sz w:val="32"/>
          <w:szCs w:val="32"/>
          <w:lang w:val="zh-CN"/>
        </w:rPr>
        <w:t>附件5</w:t>
      </w:r>
    </w:p>
    <w:p>
      <w:pPr>
        <w:pStyle w:val="2"/>
        <w:spacing w:line="520" w:lineRule="exact"/>
        <w:jc w:val="center"/>
        <w:rPr>
          <w:rFonts w:ascii="Times New Roman" w:eastAsia="方正小标宋简体" w:cs="Times New Roman"/>
          <w:bCs/>
          <w:color w:val="000000"/>
          <w:spacing w:val="-8"/>
          <w:kern w:val="0"/>
          <w:sz w:val="44"/>
          <w:szCs w:val="44"/>
          <w:lang w:val="zh-CN"/>
        </w:rPr>
      </w:pPr>
      <w:r>
        <w:rPr>
          <w:rFonts w:ascii="Times New Roman" w:eastAsia="方正小标宋简体" w:cs="Times New Roman"/>
          <w:bCs/>
          <w:color w:val="000000"/>
          <w:spacing w:val="-8"/>
          <w:kern w:val="0"/>
          <w:sz w:val="44"/>
          <w:szCs w:val="44"/>
          <w:lang w:val="zh-CN"/>
        </w:rPr>
        <w:t>永州市征地范围内果树、经济林类青苗补偿标准</w:t>
      </w:r>
    </w:p>
    <w:p>
      <w:pPr>
        <w:pStyle w:val="3"/>
        <w:widowControl w:val="0"/>
        <w:shd w:val="clear" w:color="auto" w:fill="FFFFFF"/>
        <w:spacing w:line="520" w:lineRule="exact"/>
        <w:jc w:val="center"/>
        <w:rPr>
          <w:rFonts w:eastAsia="仿宋_GB2312"/>
          <w:color w:val="000000"/>
        </w:rPr>
      </w:pPr>
      <w:r>
        <w:rPr>
          <w:rFonts w:eastAsia="仿宋_GB2312"/>
          <w:color w:val="000000"/>
          <w:sz w:val="21"/>
          <w:szCs w:val="21"/>
        </w:rPr>
        <w:t xml:space="preserve">                                                                </w:t>
      </w:r>
      <w:r>
        <w:rPr>
          <w:rFonts w:eastAsia="仿宋_GB2312"/>
          <w:color w:val="000000"/>
        </w:rPr>
        <w:t>单位：元/株</w:t>
      </w:r>
    </w:p>
    <w:tbl>
      <w:tblPr>
        <w:tblStyle w:val="5"/>
        <w:tblW w:w="9498" w:type="dxa"/>
        <w:tblInd w:w="-2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23"/>
        <w:gridCol w:w="1057"/>
        <w:gridCol w:w="1529"/>
        <w:gridCol w:w="1764"/>
        <w:gridCol w:w="1764"/>
        <w:gridCol w:w="16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名称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ab/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苗期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初产期 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盛果期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衰老期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脐橙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70-90 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110-130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柑橘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梨、桃、李、梅、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枇杷、石榴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柚、板栗、核桃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酸枣、臭柑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ab/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60-80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90-110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70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枣、柿、山楂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ab/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葡萄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（零星种植的）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90-120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（专业园） 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60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100-130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油  茶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70-90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130-160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100-120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油  桐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说明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.成片脐橙园地按80—110株/亩计算；成片橘园园地按80—110株/亩计算；成片葡萄园地按170—250株/亩计算；其他成片果树类园地按80—110株/亩计算。成片油茶、油桐树按90—110株/亩计算。超出部分按同类品种册类期的10%补偿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2.经省级农业农村部门批准的优质果树经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济林基地，可适当提高标准，但最多不超过20%。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3.各类林、果木的合理栽种密度和生产期由林业、农业农村等行政主管部门认定。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4.其他水果参照梨、桃标准进行补偿。</w:t>
            </w:r>
          </w:p>
        </w:tc>
      </w:tr>
    </w:tbl>
    <w:p>
      <w:pPr>
        <w:pStyle w:val="2"/>
        <w:spacing w:line="52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</w:p>
    <w:p/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7492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0A3CA64B07C94329A1A357A29893AB57_12</vt:lpwstr>
  </property>
</Properties>
</file>