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附件4</w:t>
      </w:r>
    </w:p>
    <w:p>
      <w:pPr>
        <w:widowControl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 xml:space="preserve"> 永州市征收集体土地上生产、生活设施及</w:t>
      </w:r>
    </w:p>
    <w:p>
      <w:pPr>
        <w:widowControl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其他地上建（构）筑物补偿标准</w:t>
      </w:r>
    </w:p>
    <w:tbl>
      <w:tblPr>
        <w:tblStyle w:val="5"/>
        <w:tblW w:w="92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608"/>
        <w:gridCol w:w="858"/>
        <w:gridCol w:w="1295"/>
        <w:gridCol w:w="4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项目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名称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单位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补偿金额（元）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说  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塔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沼气（水）池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红砖砌体水泥抹面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混凝土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水塔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钢筋砼分布的正规水塔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化粪池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55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砖砌粉水泥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井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 砌 井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1.按井深计算；2.包括井台、抽水设备及周围水泥地面；3.废弃的不予补偿。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石 砌 井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1.按井深计算；2.包括井台、抽水设备及周围水泥地面；3.废弃的不予补偿。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    井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1.按井深计算；2.包括井台、抽水设备及周围水泥地面；3.废弃的不予补偿。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机钻井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（摇泵井）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座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6000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超过40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m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的，每增加1米增加100元。含电机、水泵、水管等补偿。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道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路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砼道路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厚度不少于6cm，水泥抹平。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厚度达到15 cm以上。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砂卵石、碴、碎石道路（三合土）面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表面平整压实。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炒沙路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130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沥青层厚度不少于6cm，补偿含垫层。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晒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坪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岩板坪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岩匠过砖，抹平安砌，未达此标准按水泥坪标准补偿。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水泥坪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厚度不少于6cm，砖石垫层，水泥抹面。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ind w:firstLine="105" w:firstLineChars="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三合土坪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厚度不少于6cm，三合灰捣制，表面抹光。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ind w:firstLine="420" w:firstLineChars="20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土坪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厚度不少于6cm。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排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沟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（涵   管）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砖砌明沟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断面24cm×35cm，断面不同时按比例换算。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三合灰明沟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断面24cm×35cm，断面不同时按比例换算。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砖砌暗沟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含盖板断面24cm×35cm，断面不同时按比例换算。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暗砼涵管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45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Ф200mm以下。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暗砼涵管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55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Ф200mm以上。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铸铁管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Ф100mm。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挡土墙护坡保坎类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砖砌砌体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（护坡）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浆砌。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330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干砌。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片石砌体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（护坡）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330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浆砌。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310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干砌。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围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墙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24砖眠墙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限于主体建筑之外，包括基础，贴瓷砖的每平方米增加10元。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09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24砖斗墙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240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限于主体建筑之外，包括基础，贴瓷砖的每平方米增加10元。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09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18砖墙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限于主体建筑之外，包括基础，贴瓷砖的每平方米增加10元。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09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13砖附柱墙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240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限于主体建筑之外，包括基础，贴瓷砖的每平方米增加10元。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9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土筑、土砖墙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限于主体建筑之外，包括基础，贴瓷砖的每平方米增加10元（包括三合灰砌筑墙）。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蔬菜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w w:val="85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大棚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钢结构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顶高＞2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m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砼结构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顶高＞2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m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竹木结构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顶高＞2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m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温室砖石墙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顶高＞2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m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顶高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﹤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2米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不分结构。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假山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砼板及栏杆过桥类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砼  板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水塘设施。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假山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有片石、毛料石、土垒混合形，少一项的减10%计算补偿。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各种栏杆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钢砼花格栏杆以上每米增加10元补偿。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钢砼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水泥条板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屋外洗衣台及其他所有条板按此标准补偿，贴瓷砖的每平方米增加10元补偿。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钢砼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水泥过桥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120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车辆通道。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预制板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水泥过桥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砖砌温床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（花围）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  <w:r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按面积计算。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其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他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刀  片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65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含立柱，按长度计算。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罗马柱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含立柱，按长度计算。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瓦窖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个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2000-3000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废弃不补偿。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石灰窖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个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2000-3000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废弃不补偿。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砖砌一锅灶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（室外）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座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台体台面贴瓷砖增加10%，带热水箱及洗涤池的另增加200元，每增加一锅增加200元补偿。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空调移装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台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350</w:t>
            </w:r>
          </w:p>
        </w:tc>
        <w:tc>
          <w:tcPr>
            <w:tcW w:w="4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含材料及拆、装费。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太阳能热水器移装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室外照明线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包括双线，动力四线的每米增加5元补偿。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其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他</w:t>
            </w:r>
          </w:p>
          <w:p>
            <w:pPr>
              <w:widowControl w:val="0"/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类</w:t>
            </w:r>
          </w:p>
        </w:tc>
        <w:tc>
          <w:tcPr>
            <w:tcW w:w="160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变压器</w:t>
            </w:r>
          </w:p>
        </w:tc>
        <w:tc>
          <w:tcPr>
            <w:tcW w:w="85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个</w:t>
            </w:r>
          </w:p>
        </w:tc>
        <w:tc>
          <w:tcPr>
            <w:tcW w:w="129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691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经电力部门评定用于生产生活的，经评估后给予拆卸、搬运、安装费用。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电话、宽带、有线电视、卫星电视接收器移装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台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300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煤气表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个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4000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含开户费、安装费。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电表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个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1000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含开户费、安装费。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水表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个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800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含开户费、安装费。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材料转运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车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棺木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1000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搬运费与寄存费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</w:tbl>
    <w:p>
      <w:pPr>
        <w:pStyle w:val="3"/>
        <w:widowControl w:val="0"/>
        <w:spacing w:line="440" w:lineRule="exact"/>
        <w:ind w:firstLine="420" w:firstLineChars="2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备注：1.凡属非固定性生产或生活的设施（包括炉灶、装配式水池、非固定猪槽、活动水泥</w:t>
      </w:r>
    </w:p>
    <w:p>
      <w:pPr>
        <w:pStyle w:val="3"/>
        <w:widowControl w:val="0"/>
        <w:spacing w:line="440" w:lineRule="exact"/>
        <w:ind w:firstLine="1260" w:firstLineChars="6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板谷仓等），均不予补偿。</w:t>
      </w:r>
    </w:p>
    <w:p>
      <w:pPr>
        <w:pStyle w:val="3"/>
        <w:widowControl w:val="0"/>
        <w:spacing w:line="440" w:lineRule="exact"/>
        <w:ind w:firstLine="1050" w:firstLineChars="5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2.房屋四周的屋檐滴水明沟、进屋的踏步、上楼的楼梯均为房屋的必要配套设施，已</w:t>
      </w:r>
    </w:p>
    <w:p>
      <w:pPr>
        <w:pStyle w:val="3"/>
        <w:widowControl w:val="0"/>
        <w:spacing w:line="440" w:lineRule="exact"/>
        <w:ind w:firstLine="1260" w:firstLineChars="600"/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包括在房屋的补偿单价中，不再按此表另行补偿。</w:t>
      </w:r>
    </w:p>
    <w:p>
      <w:r>
        <w:rPr>
          <w:rFonts w:hint="eastAsia" w:eastAsia="仿宋_GB2312"/>
          <w:color w:val="000000"/>
          <w:sz w:val="21"/>
          <w:szCs w:val="21"/>
          <w:lang w:eastAsia="zh-CN"/>
        </w:rPr>
        <w:t>　　　　　</w:t>
      </w:r>
      <w:r>
        <w:rPr>
          <w:rFonts w:eastAsia="仿宋_GB2312"/>
          <w:color w:val="000000"/>
          <w:sz w:val="21"/>
          <w:szCs w:val="21"/>
        </w:rPr>
        <w:t>3.水池、粪池、排水沟达不到灰、浆砌体要求的，均按各单项标准50%扣减</w:t>
      </w:r>
      <w:r>
        <w:rPr>
          <w:rFonts w:eastAsia="仿宋_GB2312"/>
          <w:b/>
          <w:bCs/>
          <w:color w:val="000000"/>
          <w:sz w:val="21"/>
          <w:szCs w:val="21"/>
        </w:rPr>
        <w:t>。</w:t>
      </w:r>
      <w:bookmarkStart w:id="0" w:name="_GoBack"/>
      <w:bookmarkEnd w:id="0"/>
    </w:p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412C7A33"/>
    <w:rsid w:val="55C5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4582DDE55BE548D58BCE14D39B286CEF_12</vt:lpwstr>
  </property>
</Properties>
</file>