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420" w:lineRule="exact"/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  <w:t>附件1</w:t>
      </w:r>
    </w:p>
    <w:p>
      <w:pPr>
        <w:pStyle w:val="2"/>
        <w:spacing w:line="560" w:lineRule="exact"/>
        <w:jc w:val="center"/>
        <w:rPr>
          <w:rFonts w:ascii="Times New Roman" w:eastAsia="方正小标宋简体" w:cs="Times New Roman"/>
          <w:bCs/>
          <w:color w:val="000000"/>
          <w:kern w:val="0"/>
          <w:sz w:val="44"/>
          <w:szCs w:val="44"/>
          <w:lang w:val="zh-CN"/>
        </w:rPr>
      </w:pPr>
      <w:r>
        <w:rPr>
          <w:rFonts w:ascii="Times New Roman" w:eastAsia="方正小标宋简体" w:cs="Times New Roman"/>
          <w:bCs/>
          <w:color w:val="000000"/>
          <w:kern w:val="0"/>
          <w:sz w:val="44"/>
          <w:szCs w:val="44"/>
          <w:lang w:val="zh-CN"/>
        </w:rPr>
        <w:t>永州市集体土地上房屋征收补偿标准</w:t>
      </w:r>
    </w:p>
    <w:p>
      <w:pPr>
        <w:pStyle w:val="3"/>
        <w:widowControl w:val="0"/>
        <w:spacing w:line="520" w:lineRule="exact"/>
        <w:ind w:firstLine="6720" w:firstLineChars="3200"/>
        <w:rPr>
          <w:rFonts w:eastAsia="仿宋_GB2312"/>
          <w:color w:val="000000"/>
          <w:sz w:val="21"/>
          <w:szCs w:val="21"/>
        </w:rPr>
      </w:pPr>
      <w:r>
        <w:rPr>
          <w:rFonts w:eastAsia="仿宋_GB2312"/>
          <w:color w:val="000000"/>
          <w:sz w:val="21"/>
          <w:szCs w:val="21"/>
        </w:rPr>
        <w:t>单位：元/</w:t>
      </w:r>
      <w:r>
        <w:rPr>
          <w:color w:val="000000"/>
          <w:sz w:val="21"/>
          <w:szCs w:val="21"/>
        </w:rPr>
        <w:t>㎡</w:t>
      </w:r>
    </w:p>
    <w:tbl>
      <w:tblPr>
        <w:tblStyle w:val="5"/>
        <w:tblW w:w="95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6"/>
        <w:gridCol w:w="425"/>
        <w:gridCol w:w="6375"/>
        <w:gridCol w:w="955"/>
        <w:gridCol w:w="13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" w:hRule="atLeast"/>
          <w:tblHeader/>
        </w:trPr>
        <w:tc>
          <w:tcPr>
            <w:tcW w:w="9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20" w:lineRule="exact"/>
              <w:ind w:leftChars="-1" w:hanging="2" w:hangingChars="1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  <w:t>房屋</w:t>
            </w:r>
          </w:p>
          <w:p>
            <w:pPr>
              <w:widowControl w:val="0"/>
              <w:spacing w:line="320" w:lineRule="exact"/>
              <w:ind w:leftChars="-1" w:hanging="2" w:hangingChars="1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  <w:t>类别</w:t>
            </w:r>
          </w:p>
        </w:tc>
        <w:tc>
          <w:tcPr>
            <w:tcW w:w="6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  <w:t>主要特征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20" w:lineRule="exact"/>
              <w:ind w:left="-11" w:leftChars="-36" w:hanging="65" w:hangingChars="31"/>
              <w:jc w:val="center"/>
              <w:rPr>
                <w:rFonts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  <w:t>房屋补偿标准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szCs w:val="21"/>
              </w:rPr>
              <w:t>装修（饰）补偿标准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7" w:hRule="atLeast"/>
        </w:trPr>
        <w:tc>
          <w:tcPr>
            <w:tcW w:w="9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20" w:lineRule="exact"/>
              <w:ind w:leftChars="-1" w:hanging="2" w:hangingChars="1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钢</w:t>
            </w:r>
          </w:p>
          <w:p>
            <w:pPr>
              <w:widowControl w:val="0"/>
              <w:spacing w:line="320" w:lineRule="exact"/>
              <w:ind w:leftChars="-1" w:hanging="2" w:hangingChars="1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混</w:t>
            </w:r>
          </w:p>
          <w:p>
            <w:pPr>
              <w:widowControl w:val="0"/>
              <w:spacing w:line="320" w:lineRule="exact"/>
              <w:ind w:leftChars="-1" w:hanging="2" w:hangingChars="1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结</w:t>
            </w:r>
          </w:p>
          <w:p>
            <w:pPr>
              <w:widowControl w:val="0"/>
              <w:spacing w:line="320" w:lineRule="exact"/>
              <w:ind w:leftChars="-1" w:hanging="2" w:hangingChars="1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构</w:t>
            </w:r>
          </w:p>
        </w:tc>
        <w:tc>
          <w:tcPr>
            <w:tcW w:w="6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20" w:lineRule="exac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桩</w:t>
            </w:r>
            <w:r>
              <w:rPr>
                <w:rFonts w:ascii="Times New Roman" w:hAnsi="Times New Roman" w:eastAsia="仿宋_GB2312" w:cs="Times New Roman"/>
                <w:color w:val="000000"/>
                <w:spacing w:val="-6"/>
                <w:kern w:val="0"/>
                <w:szCs w:val="21"/>
              </w:rPr>
              <w:t>基础或筏板基础，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现浇</w:t>
            </w:r>
            <w:r>
              <w:rPr>
                <w:rFonts w:ascii="Times New Roman" w:hAnsi="Times New Roman" w:eastAsia="仿宋_GB2312" w:cs="Times New Roman"/>
                <w:color w:val="000000"/>
                <w:spacing w:val="-6"/>
                <w:kern w:val="0"/>
                <w:szCs w:val="21"/>
              </w:rPr>
              <w:t>钢筋混凝土梁，柱承重，无承重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墙</w:t>
            </w:r>
            <w:r>
              <w:rPr>
                <w:rFonts w:ascii="Times New Roman" w:hAnsi="Times New Roman" w:eastAsia="仿宋_GB2312" w:cs="Times New Roman"/>
                <w:color w:val="000000"/>
                <w:spacing w:val="-6"/>
                <w:kern w:val="0"/>
                <w:szCs w:val="21"/>
              </w:rPr>
              <w:t>。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楼面、屋面、楼梯、天沟，层高</w:t>
            </w:r>
            <w:r>
              <w:rPr>
                <w:rFonts w:ascii="Times New Roman" w:hAnsi="Times New Roman" w:eastAsia="仿宋_GB2312" w:cs="Times New Roman"/>
                <w:vanish/>
                <w:color w:val="000000"/>
                <w:kern w:val="0"/>
                <w:szCs w:val="21"/>
                <w:highlight w:val="yellow"/>
              </w:rPr>
              <w:t>&lt;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3m</w:t>
            </w:r>
            <w:r>
              <w:rPr>
                <w:rFonts w:ascii="Times New Roman" w:hAnsi="Times New Roman" w:eastAsia="仿宋_GB2312" w:cs="Times New Roman"/>
                <w:vanish/>
                <w:color w:val="000000"/>
                <w:kern w:val="0"/>
                <w:szCs w:val="21"/>
                <w:highlight w:val="yellow"/>
              </w:rPr>
              <w:t>&gt;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以上，屋面上部有架空隔热层或平坡型隔热层框架间均为24cm眠墙填充。外墙全粉饰，贴外墙砖，有琉璃饰物及石质材料贴面。客厅、卧室、生活配套房为实木地面，其余为石质或瓷砖地面。</w:t>
            </w:r>
            <w:r>
              <w:rPr>
                <w:rFonts w:ascii="Times New Roman" w:hAnsi="Times New Roman" w:eastAsia="仿宋_GB2312" w:cs="Times New Roman"/>
                <w:color w:val="000000"/>
                <w:spacing w:val="-4"/>
                <w:kern w:val="0"/>
                <w:szCs w:val="21"/>
              </w:rPr>
              <w:t>木制或石膏、金属物饰顶，有木制墙裙，固定壁柜、门、窗套全包装饰。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防盗门、防盗窗、铝合金门窗。</w:t>
            </w:r>
            <w:r>
              <w:rPr>
                <w:rFonts w:ascii="Times New Roman" w:hAnsi="Times New Roman" w:eastAsia="仿宋_GB2312" w:cs="Times New Roman"/>
                <w:color w:val="000000"/>
                <w:spacing w:val="-4"/>
                <w:kern w:val="0"/>
                <w:szCs w:val="21"/>
              </w:rPr>
              <w:t>厨</w:t>
            </w:r>
            <w:r>
              <w:rPr>
                <w:rFonts w:ascii="Times New Roman" w:hAnsi="Times New Roman" w:eastAsia="仿宋_GB2312" w:cs="Times New Roman"/>
                <w:color w:val="000000"/>
                <w:spacing w:val="-6"/>
                <w:kern w:val="0"/>
                <w:szCs w:val="21"/>
              </w:rPr>
              <w:t>房、卫生间设施配套齐全，室内水、电、卫设施齐全（全装修房、室）。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960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20" w:lineRule="exact"/>
              <w:ind w:firstLine="105" w:firstLineChars="5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640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0" w:hRule="atLeast"/>
        </w:trPr>
        <w:tc>
          <w:tcPr>
            <w:tcW w:w="4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20" w:lineRule="exact"/>
              <w:ind w:leftChars="-1" w:hanging="2" w:hangingChars="1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砖</w:t>
            </w:r>
            <w:bookmarkStart w:id="0" w:name="_GoBack"/>
            <w:bookmarkEnd w:id="0"/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混</w:t>
            </w:r>
          </w:p>
          <w:p>
            <w:pPr>
              <w:widowControl w:val="0"/>
              <w:spacing w:line="320" w:lineRule="exact"/>
              <w:ind w:leftChars="-1" w:hanging="2" w:hangingChars="1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结构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20" w:lineRule="exact"/>
              <w:ind w:leftChars="-1" w:hanging="2" w:hangingChars="1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一等</w:t>
            </w:r>
          </w:p>
        </w:tc>
        <w:tc>
          <w:tcPr>
            <w:tcW w:w="6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20" w:lineRule="exact"/>
              <w:rPr>
                <w:rFonts w:ascii="Times New Roman" w:hAnsi="Times New Roman" w:eastAsia="仿宋_GB2312" w:cs="Times New Roman"/>
                <w:color w:val="00000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砖石基础，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24</w:t>
            </w: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cm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眠墙，墙梁柱共同承重，现浇或者预制钢筋混凝土楼面、层面，有隔热屋或坡屋面盖瓦，房屋结构完整，标准层高为</w:t>
            </w:r>
            <w:r>
              <w:rPr>
                <w:rFonts w:ascii="Times New Roman" w:hAnsi="Times New Roman" w:eastAsia="仿宋_GB2312" w:cs="Times New Roman"/>
                <w:vanish/>
                <w:color w:val="000000"/>
                <w:kern w:val="0"/>
                <w:szCs w:val="21"/>
                <w:highlight w:val="yellow"/>
              </w:rPr>
              <w:t>&lt;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3m</w:t>
            </w:r>
            <w:r>
              <w:rPr>
                <w:rFonts w:ascii="Times New Roman" w:hAnsi="Times New Roman" w:eastAsia="仿宋_GB2312" w:cs="Times New Roman"/>
                <w:vanish/>
                <w:color w:val="000000"/>
                <w:kern w:val="0"/>
                <w:szCs w:val="21"/>
                <w:highlight w:val="yellow"/>
              </w:rPr>
              <w:t>&gt;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以上。外墙全粉饰，贴外墙砖，有琉璃物及石质材料贴面。客厅、卧室、生活配套房地面为实木地面；其余为石质或瓷砖地面；</w:t>
            </w:r>
            <w:r>
              <w:rPr>
                <w:rFonts w:ascii="Times New Roman" w:hAnsi="Times New Roman" w:eastAsia="仿宋_GB2312" w:cs="Times New Roman"/>
                <w:color w:val="000000"/>
                <w:spacing w:val="-4"/>
                <w:kern w:val="0"/>
                <w:szCs w:val="21"/>
              </w:rPr>
              <w:t>木制或石膏、金属物饰顶，有木制墙裙，固定壁柜、门、窗套全包装饰。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防盗门、防盗窗、铝合金门窗。</w:t>
            </w:r>
            <w:r>
              <w:rPr>
                <w:rFonts w:ascii="Times New Roman" w:hAnsi="Times New Roman" w:eastAsia="仿宋_GB2312" w:cs="Times New Roman"/>
                <w:color w:val="000000"/>
                <w:spacing w:val="-4"/>
                <w:kern w:val="0"/>
                <w:szCs w:val="21"/>
              </w:rPr>
              <w:t>厨房、卫生间设施配套齐全，室内水、电、卫设施齐全（全装修房、室）。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810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540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6" w:hRule="atLeast"/>
        </w:trPr>
        <w:tc>
          <w:tcPr>
            <w:tcW w:w="4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2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20" w:lineRule="exact"/>
              <w:ind w:firstLine="33" w:firstLineChars="16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二等</w:t>
            </w:r>
          </w:p>
        </w:tc>
        <w:tc>
          <w:tcPr>
            <w:tcW w:w="6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20" w:lineRule="exac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砖石基础，内外18cm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眠墙，部分24</w:t>
            </w: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cm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眠墙，墙梁柱共同承重，现浇或者预制钢筋混凝土楼面、层面，有隔热屋或坡屋面盖瓦，房屋结构完整。外墙全粉饰，贴外墙砖，有琉璃物及石质材料贴面。客厅、卧室、生活配套房地面为瓷砖或石质材料贴面，部分实木地面，其余为石质或瓷砖地面。</w:t>
            </w:r>
            <w:r>
              <w:rPr>
                <w:rFonts w:ascii="Times New Roman" w:hAnsi="Times New Roman" w:eastAsia="仿宋_GB2312" w:cs="Times New Roman"/>
                <w:color w:val="000000"/>
                <w:spacing w:val="-4"/>
                <w:kern w:val="0"/>
                <w:szCs w:val="21"/>
              </w:rPr>
              <w:t>木制或石膏、金属物饰顶，有木制墙裙，固定壁柜、门、窗套全包装饰。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防盗门、防盗窗、铝合金门窗。</w:t>
            </w:r>
            <w:r>
              <w:rPr>
                <w:rFonts w:ascii="Times New Roman" w:hAnsi="Times New Roman" w:eastAsia="仿宋_GB2312" w:cs="Times New Roman"/>
                <w:color w:val="000000"/>
                <w:spacing w:val="-4"/>
                <w:kern w:val="0"/>
                <w:szCs w:val="21"/>
              </w:rPr>
              <w:t>厨房、卫生间设施配套齐全，室内水、电、卫设施齐全（全装修房、室）。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20" w:lineRule="exact"/>
              <w:ind w:firstLine="2" w:firstLineChars="1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750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8" w:hRule="atLeast"/>
        </w:trPr>
        <w:tc>
          <w:tcPr>
            <w:tcW w:w="4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2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20" w:lineRule="exac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三等</w:t>
            </w:r>
          </w:p>
        </w:tc>
        <w:tc>
          <w:tcPr>
            <w:tcW w:w="6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20" w:lineRule="exac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砖石基础，内外18cm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眠墙，部分24</w:t>
            </w: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cm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眠墙，钢筋砼地梁、预制楼面、屋面、楼梯、天沟、有柱檐廊，屋面上部架空隔热层或平坡型隔热层，房屋结构完整，外墙部分粉饰，内墙粉刷涂料罩面。客厅、卧室、生活配套房地面为瓷砖或石质材料贴面,部分水泥或其他饰面材料。木制或石膏、有固定壁柜、部分墙裙、门套、木制门、窗带纱，普通防盗门、窗，部分铝合金窗。</w:t>
            </w:r>
            <w:r>
              <w:rPr>
                <w:rFonts w:ascii="Times New Roman" w:hAnsi="Times New Roman" w:eastAsia="仿宋_GB2312" w:cs="Times New Roman"/>
                <w:color w:val="000000"/>
                <w:spacing w:val="-4"/>
                <w:kern w:val="0"/>
                <w:szCs w:val="21"/>
              </w:rPr>
              <w:t>厨房、卫生间设施配套齐全，室内水、电、卫设施齐全（全装修房、室）。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690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460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3" w:hRule="atLeast"/>
        </w:trPr>
        <w:tc>
          <w:tcPr>
            <w:tcW w:w="4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20" w:lineRule="exac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砖木</w:t>
            </w:r>
          </w:p>
          <w:p>
            <w:pPr>
              <w:widowControl w:val="0"/>
              <w:spacing w:line="320" w:lineRule="exac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结构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20" w:lineRule="exac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一等</w:t>
            </w:r>
          </w:p>
        </w:tc>
        <w:tc>
          <w:tcPr>
            <w:tcW w:w="6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20" w:lineRule="exac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砖石基础，瓦屋面，前后檐口高度不低于</w:t>
            </w:r>
            <w:r>
              <w:rPr>
                <w:rFonts w:ascii="Times New Roman" w:hAnsi="Times New Roman" w:eastAsia="仿宋_GB2312" w:cs="Times New Roman"/>
                <w:vanish/>
                <w:color w:val="000000"/>
                <w:kern w:val="0"/>
                <w:szCs w:val="21"/>
                <w:highlight w:val="yellow"/>
              </w:rPr>
              <w:t>&lt;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3m</w:t>
            </w:r>
            <w:r>
              <w:rPr>
                <w:rFonts w:ascii="Times New Roman" w:hAnsi="Times New Roman" w:eastAsia="仿宋_GB2312" w:cs="Times New Roman"/>
                <w:vanish/>
                <w:color w:val="000000"/>
                <w:kern w:val="0"/>
                <w:szCs w:val="21"/>
                <w:highlight w:val="yellow"/>
              </w:rPr>
              <w:t>&gt;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。空斗砖墙，部分眠墙，有圈梁、过梁、砖柱结构，天沟、隔热层，或坡屋面盖瓦，客厅、卧室、生活配套房地面为瓷砖或石材贴面，外墙有部分粉饰或瓷砖贴面。普通内墙面、顶棚装饰、木制门、窗带纱。防盗网，部分铝合金窗。厨房、卫生间设施配套齐全，室内水、电、排水设施齐全。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540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360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4" w:hRule="atLeast"/>
        </w:trPr>
        <w:tc>
          <w:tcPr>
            <w:tcW w:w="4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2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20" w:lineRule="exac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二等</w:t>
            </w:r>
          </w:p>
        </w:tc>
        <w:tc>
          <w:tcPr>
            <w:tcW w:w="6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20" w:lineRule="exac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砖石基础，24cm斗墙和部分眠墙，瓦屋面，有砖柱结构，前后檐口高度不低于</w:t>
            </w:r>
            <w:r>
              <w:rPr>
                <w:rFonts w:ascii="Times New Roman" w:hAnsi="Times New Roman" w:eastAsia="仿宋_GB2312" w:cs="Times New Roman"/>
                <w:vanish/>
                <w:color w:val="000000"/>
                <w:kern w:val="0"/>
                <w:szCs w:val="21"/>
                <w:highlight w:val="yellow"/>
              </w:rPr>
              <w:t>&lt;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3m</w:t>
            </w:r>
            <w:r>
              <w:rPr>
                <w:rFonts w:ascii="Times New Roman" w:hAnsi="Times New Roman" w:eastAsia="仿宋_GB2312" w:cs="Times New Roman"/>
                <w:vanish/>
                <w:color w:val="000000"/>
                <w:kern w:val="0"/>
                <w:szCs w:val="21"/>
                <w:highlight w:val="yellow"/>
              </w:rPr>
              <w:t>&gt;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。客厅、卧室、生活配套房地面为部分瓷砖，外墙有粉饰。普通内墙面、木制门、窗带纱，有防盗网。厨房、卫生间设施配套齐全，室内水、电、排水设施齐全。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510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340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" w:hRule="atLeast"/>
        </w:trPr>
        <w:tc>
          <w:tcPr>
            <w:tcW w:w="4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2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20" w:lineRule="exac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三等</w:t>
            </w:r>
          </w:p>
        </w:tc>
        <w:tc>
          <w:tcPr>
            <w:tcW w:w="6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20" w:lineRule="exac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4"/>
                <w:kern w:val="0"/>
                <w:szCs w:val="21"/>
              </w:rPr>
              <w:t>木柱屋梁，半土、半砖、木板墙或填充墙，瓦屋面，前后檐口高度不低于</w:t>
            </w:r>
            <w:r>
              <w:rPr>
                <w:rFonts w:ascii="Times New Roman" w:hAnsi="Times New Roman" w:eastAsia="仿宋_GB2312" w:cs="Times New Roman"/>
                <w:vanish/>
                <w:color w:val="000000"/>
                <w:spacing w:val="-4"/>
                <w:kern w:val="0"/>
                <w:szCs w:val="21"/>
                <w:highlight w:val="yellow"/>
              </w:rPr>
              <w:t>&lt;</w:t>
            </w:r>
            <w:r>
              <w:rPr>
                <w:rFonts w:ascii="Times New Roman" w:hAnsi="Times New Roman" w:eastAsia="仿宋_GB2312" w:cs="Times New Roman"/>
                <w:color w:val="000000"/>
                <w:spacing w:val="-4"/>
                <w:kern w:val="0"/>
                <w:szCs w:val="21"/>
              </w:rPr>
              <w:t>2.8m</w:t>
            </w:r>
            <w:r>
              <w:rPr>
                <w:rFonts w:ascii="Times New Roman" w:hAnsi="Times New Roman" w:eastAsia="仿宋_GB2312" w:cs="Times New Roman"/>
                <w:vanish/>
                <w:color w:val="000000"/>
                <w:spacing w:val="-4"/>
                <w:kern w:val="0"/>
                <w:szCs w:val="21"/>
                <w:highlight w:val="yellow"/>
              </w:rPr>
              <w:t>&gt;</w:t>
            </w:r>
            <w:r>
              <w:rPr>
                <w:rFonts w:ascii="Times New Roman" w:hAnsi="Times New Roman" w:eastAsia="仿宋_GB2312" w:cs="Times New Roman"/>
                <w:color w:val="000000"/>
                <w:spacing w:val="-4"/>
                <w:kern w:val="0"/>
                <w:szCs w:val="21"/>
              </w:rPr>
              <w:t>。油漆木制门窗，室内水、电、卫生设施和厨房设施配套齐全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。空斗砖墙或土砖、土筑墙，有隔热层。坡屋面盖瓦，房屋结构完整。室内地面为水泥，外墙为清水墙，门、窗齐全，带纱，室内全粉饰，带防盗网。厨房、卫生间设施配套齐全，室内水、电、排水设施齐全。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480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320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9" w:hRule="atLeast"/>
        </w:trPr>
        <w:tc>
          <w:tcPr>
            <w:tcW w:w="4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20" w:lineRule="exac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土木 结 构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20" w:lineRule="exac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一等</w:t>
            </w:r>
          </w:p>
        </w:tc>
        <w:tc>
          <w:tcPr>
            <w:tcW w:w="6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20" w:lineRule="exac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土筑混砌墙，木屋架，瓦屋面，前后檐口高度</w:t>
            </w:r>
            <w:r>
              <w:rPr>
                <w:rFonts w:ascii="Times New Roman" w:hAnsi="Times New Roman" w:eastAsia="仿宋_GB2312" w:cs="Times New Roman"/>
                <w:vanish/>
                <w:color w:val="000000"/>
                <w:kern w:val="0"/>
                <w:szCs w:val="21"/>
                <w:highlight w:val="yellow"/>
              </w:rPr>
              <w:t>&lt;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2.8m</w:t>
            </w:r>
            <w:r>
              <w:rPr>
                <w:rFonts w:ascii="Times New Roman" w:hAnsi="Times New Roman" w:eastAsia="仿宋_GB2312" w:cs="Times New Roman"/>
                <w:vanish/>
                <w:color w:val="000000"/>
                <w:kern w:val="0"/>
                <w:szCs w:val="21"/>
                <w:highlight w:val="yellow"/>
              </w:rPr>
              <w:t>&gt;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以上。水泥地面或三合土地面，门、窗齐全，带纱，室内全粉饰。室内水、电、卫生间设施和厨房设施配套齐全。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420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" w:hRule="atLeast"/>
        </w:trPr>
        <w:tc>
          <w:tcPr>
            <w:tcW w:w="4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2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20" w:lineRule="exac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二等</w:t>
            </w:r>
          </w:p>
        </w:tc>
        <w:tc>
          <w:tcPr>
            <w:tcW w:w="6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20" w:lineRule="exac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土筑混砌墙，木屋架，瓦屋面，前后檐口高度</w:t>
            </w:r>
            <w:r>
              <w:rPr>
                <w:rFonts w:ascii="Times New Roman" w:hAnsi="Times New Roman" w:eastAsia="仿宋_GB2312" w:cs="Times New Roman"/>
                <w:vanish/>
                <w:color w:val="000000"/>
                <w:kern w:val="0"/>
                <w:szCs w:val="21"/>
                <w:highlight w:val="yellow"/>
              </w:rPr>
              <w:t>&lt;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2.8m</w:t>
            </w:r>
            <w:r>
              <w:rPr>
                <w:rFonts w:ascii="Times New Roman" w:hAnsi="Times New Roman" w:eastAsia="仿宋_GB2312" w:cs="Times New Roman"/>
                <w:vanish/>
                <w:color w:val="000000"/>
                <w:kern w:val="0"/>
                <w:szCs w:val="21"/>
                <w:highlight w:val="yellow"/>
              </w:rPr>
              <w:t>&gt;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以上。水泥地面或三合土地面，普通门窗。简单的水、电设备。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390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260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" w:hRule="atLeast"/>
        </w:trPr>
        <w:tc>
          <w:tcPr>
            <w:tcW w:w="4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2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20" w:lineRule="exac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三等</w:t>
            </w:r>
          </w:p>
        </w:tc>
        <w:tc>
          <w:tcPr>
            <w:tcW w:w="6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20" w:lineRule="exac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无独立山墙，24cm斗墙或12cm墙，檐口高度</w:t>
            </w:r>
            <w:r>
              <w:rPr>
                <w:rFonts w:ascii="Times New Roman" w:hAnsi="Times New Roman" w:eastAsia="仿宋_GB2312" w:cs="Times New Roman"/>
                <w:vanish/>
                <w:color w:val="000000"/>
                <w:kern w:val="0"/>
                <w:szCs w:val="21"/>
                <w:highlight w:val="yellow"/>
              </w:rPr>
              <w:t>&lt;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2.2m</w:t>
            </w:r>
            <w:r>
              <w:rPr>
                <w:rFonts w:ascii="Times New Roman" w:hAnsi="Times New Roman" w:eastAsia="仿宋_GB2312" w:cs="Times New Roman"/>
                <w:vanish/>
                <w:color w:val="000000"/>
                <w:kern w:val="0"/>
                <w:szCs w:val="21"/>
                <w:highlight w:val="yellow"/>
              </w:rPr>
              <w:t>&gt;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以上。各类材料砌筑墙体，三合土地面或水泥地面，材料、屋面完整。油漆木制门窗，简易水电进户。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360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5" w:hRule="atLeast"/>
        </w:trPr>
        <w:tc>
          <w:tcPr>
            <w:tcW w:w="4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20" w:lineRule="exac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简易 结 构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20" w:lineRule="exac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一等</w:t>
            </w:r>
          </w:p>
        </w:tc>
        <w:tc>
          <w:tcPr>
            <w:tcW w:w="6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20" w:lineRule="exac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基础深度</w:t>
            </w:r>
            <w:r>
              <w:rPr>
                <w:rFonts w:ascii="Times New Roman" w:hAnsi="Times New Roman" w:eastAsia="仿宋_GB2312" w:cs="Times New Roman"/>
                <w:vanish/>
                <w:color w:val="000000"/>
                <w:kern w:val="0"/>
                <w:szCs w:val="21"/>
                <w:highlight w:val="yellow"/>
              </w:rPr>
              <w:t>&lt;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0.5m</w:t>
            </w:r>
            <w:r>
              <w:rPr>
                <w:rFonts w:ascii="Times New Roman" w:hAnsi="Times New Roman" w:eastAsia="仿宋_GB2312" w:cs="Times New Roman"/>
                <w:vanish/>
                <w:color w:val="000000"/>
                <w:kern w:val="0"/>
                <w:szCs w:val="21"/>
                <w:highlight w:val="yellow"/>
              </w:rPr>
              <w:t>&gt;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，12cm墙或杂砖墙，瓦屋面，檐口高度</w:t>
            </w:r>
            <w:r>
              <w:rPr>
                <w:rFonts w:ascii="Times New Roman" w:hAnsi="Times New Roman" w:eastAsia="仿宋_GB2312" w:cs="Times New Roman"/>
                <w:vanish/>
                <w:color w:val="000000"/>
                <w:kern w:val="0"/>
                <w:szCs w:val="21"/>
                <w:highlight w:val="yellow"/>
              </w:rPr>
              <w:t>&lt;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1.8m</w:t>
            </w:r>
            <w:r>
              <w:rPr>
                <w:rFonts w:ascii="Times New Roman" w:hAnsi="Times New Roman" w:eastAsia="仿宋_GB2312" w:cs="Times New Roman"/>
                <w:vanish/>
                <w:color w:val="000000"/>
                <w:kern w:val="0"/>
                <w:szCs w:val="21"/>
                <w:highlight w:val="yellow"/>
              </w:rPr>
              <w:t>&gt;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以上。三合土地面或水泥地面，油漆木制门、窗，简易水电进户。木板平房、砖坯房。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350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" w:hRule="atLeast"/>
        </w:trPr>
        <w:tc>
          <w:tcPr>
            <w:tcW w:w="4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2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20" w:lineRule="exac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二等</w:t>
            </w:r>
          </w:p>
        </w:tc>
        <w:tc>
          <w:tcPr>
            <w:tcW w:w="6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20" w:lineRule="exac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砖木柱、简易门窗、石棉瓦、杉皮壳、油毛毡等房。油漆木制门、窗，简易水电进户。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4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2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20" w:lineRule="exac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三等</w:t>
            </w:r>
          </w:p>
        </w:tc>
        <w:tc>
          <w:tcPr>
            <w:tcW w:w="6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20" w:lineRule="exac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盖石棉瓦、油毛毡、杉皮壳的厕所、牛栏、猪栏及厂棚等。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150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0</w:t>
            </w:r>
          </w:p>
        </w:tc>
      </w:tr>
    </w:tbl>
    <w:p>
      <w:pPr>
        <w:widowControl w:val="0"/>
        <w:spacing w:line="280" w:lineRule="exact"/>
        <w:ind w:firstLine="420" w:firstLineChars="200"/>
        <w:rPr>
          <w:rFonts w:ascii="Times New Roman" w:hAnsi="Times New Roman" w:eastAsia="仿宋_GB2312" w:cs="Times New Roman"/>
          <w:color w:val="000000"/>
          <w:kern w:val="0"/>
          <w:szCs w:val="21"/>
        </w:rPr>
      </w:pPr>
      <w:r>
        <w:rPr>
          <w:rFonts w:ascii="Times New Roman" w:hAnsi="Times New Roman" w:eastAsia="仿宋_GB2312" w:cs="Times New Roman"/>
          <w:color w:val="000000"/>
          <w:kern w:val="0"/>
          <w:szCs w:val="21"/>
        </w:rPr>
        <w:t>备注：</w:t>
      </w:r>
    </w:p>
    <w:p>
      <w:pPr>
        <w:widowControl w:val="0"/>
        <w:spacing w:line="280" w:lineRule="exact"/>
        <w:ind w:firstLine="420" w:firstLineChars="200"/>
        <w:rPr>
          <w:rFonts w:ascii="Times New Roman" w:hAnsi="Times New Roman" w:eastAsia="仿宋_GB2312" w:cs="Times New Roman"/>
          <w:color w:val="000000"/>
          <w:kern w:val="0"/>
          <w:szCs w:val="21"/>
        </w:rPr>
      </w:pPr>
      <w:r>
        <w:rPr>
          <w:rFonts w:ascii="Times New Roman" w:hAnsi="Times New Roman" w:eastAsia="仿宋_GB2312" w:cs="Times New Roman"/>
          <w:color w:val="000000"/>
          <w:kern w:val="0"/>
          <w:szCs w:val="21"/>
        </w:rPr>
        <w:t>1.结构标准符合等级要求，但装修（饰）标准有两项以上达不到标准的，套用下一个类别。</w:t>
      </w:r>
    </w:p>
    <w:p>
      <w:pPr>
        <w:widowControl w:val="0"/>
        <w:spacing w:line="280" w:lineRule="exact"/>
        <w:ind w:firstLine="420" w:firstLineChars="200"/>
        <w:rPr>
          <w:rFonts w:ascii="Times New Roman" w:hAnsi="Times New Roman" w:eastAsia="仿宋_GB2312" w:cs="Times New Roman"/>
          <w:color w:val="000000"/>
          <w:kern w:val="0"/>
          <w:szCs w:val="21"/>
        </w:rPr>
      </w:pPr>
      <w:r>
        <w:rPr>
          <w:rFonts w:ascii="Times New Roman" w:hAnsi="Times New Roman" w:eastAsia="仿宋_GB2312" w:cs="Times New Roman"/>
          <w:color w:val="000000"/>
          <w:kern w:val="0"/>
          <w:szCs w:val="21"/>
        </w:rPr>
        <w:t>2.装修（饰）标准符合类别等级，但结构标准有一项以上达不到标准的，套用下一个类别。</w:t>
      </w:r>
    </w:p>
    <w:p>
      <w:pPr>
        <w:widowControl w:val="0"/>
        <w:spacing w:line="280" w:lineRule="exact"/>
        <w:ind w:firstLine="420" w:firstLineChars="200"/>
        <w:rPr>
          <w:rFonts w:ascii="Times New Roman" w:hAnsi="Times New Roman" w:eastAsia="仿宋_GB2312" w:cs="Times New Roman"/>
          <w:color w:val="000000"/>
          <w:spacing w:val="-11"/>
          <w:kern w:val="0"/>
          <w:szCs w:val="21"/>
        </w:rPr>
      </w:pPr>
      <w:r>
        <w:rPr>
          <w:rFonts w:ascii="Times New Roman" w:hAnsi="Times New Roman" w:eastAsia="仿宋_GB2312" w:cs="Times New Roman"/>
          <w:color w:val="000000"/>
          <w:kern w:val="0"/>
          <w:szCs w:val="21"/>
        </w:rPr>
        <w:t>3.</w:t>
      </w:r>
      <w:r>
        <w:rPr>
          <w:rFonts w:ascii="Times New Roman" w:hAnsi="Times New Roman" w:eastAsia="仿宋_GB2312" w:cs="Times New Roman"/>
          <w:color w:val="000000"/>
          <w:spacing w:val="-11"/>
          <w:kern w:val="0"/>
          <w:szCs w:val="21"/>
        </w:rPr>
        <w:t>装饰、装修补偿依据房屋合法面积进行计算；简易结构、生产用房及厂房不计算装修（饰）补偿。</w:t>
      </w:r>
    </w:p>
    <w:p>
      <w:pPr>
        <w:widowControl w:val="0"/>
        <w:spacing w:line="280" w:lineRule="exact"/>
        <w:ind w:firstLine="420" w:firstLineChars="200"/>
        <w:rPr>
          <w:rFonts w:ascii="Times New Roman" w:hAnsi="Times New Roman" w:eastAsia="仿宋_GB2312" w:cs="Times New Roman"/>
          <w:color w:val="000000"/>
          <w:kern w:val="0"/>
          <w:szCs w:val="21"/>
        </w:rPr>
      </w:pPr>
      <w:r>
        <w:rPr>
          <w:rFonts w:ascii="Times New Roman" w:hAnsi="Times New Roman" w:eastAsia="仿宋_GB2312" w:cs="Times New Roman"/>
          <w:color w:val="000000"/>
          <w:kern w:val="0"/>
          <w:szCs w:val="21"/>
        </w:rPr>
        <w:t>4.房屋主体结构补偿每缺少一项扣减10—30元/</w:t>
      </w:r>
      <w:r>
        <w:rPr>
          <w:rFonts w:ascii="Times New Roman" w:hAnsi="Times New Roman" w:cs="Times New Roman"/>
          <w:color w:val="000000"/>
          <w:kern w:val="0"/>
          <w:szCs w:val="21"/>
        </w:rPr>
        <w:t>㎡</w:t>
      </w:r>
      <w:r>
        <w:rPr>
          <w:rFonts w:ascii="Times New Roman" w:hAnsi="Times New Roman" w:eastAsia="仿宋_GB2312" w:cs="Times New Roman"/>
          <w:color w:val="000000"/>
          <w:kern w:val="0"/>
          <w:szCs w:val="21"/>
        </w:rPr>
        <w:t>。</w:t>
      </w:r>
    </w:p>
    <w:p>
      <w:pPr>
        <w:widowControl w:val="0"/>
        <w:spacing w:line="280" w:lineRule="exact"/>
        <w:ind w:firstLine="420" w:firstLineChars="200"/>
        <w:rPr>
          <w:rFonts w:ascii="Times New Roman" w:hAnsi="Times New Roman" w:eastAsia="仿宋_GB2312" w:cs="Times New Roman"/>
          <w:color w:val="000000"/>
          <w:kern w:val="0"/>
          <w:szCs w:val="21"/>
        </w:rPr>
      </w:pPr>
      <w:r>
        <w:rPr>
          <w:rFonts w:ascii="Times New Roman" w:hAnsi="Times New Roman" w:eastAsia="仿宋_GB2312" w:cs="Times New Roman"/>
          <w:color w:val="000000"/>
          <w:kern w:val="0"/>
          <w:szCs w:val="21"/>
        </w:rPr>
        <w:t>5.层高每增减10cm，按房屋主体补偿单价增减1%。</w:t>
      </w:r>
    </w:p>
    <w:p>
      <w:pPr>
        <w:widowControl w:val="0"/>
        <w:spacing w:line="280" w:lineRule="exact"/>
        <w:ind w:firstLine="420" w:firstLineChars="200"/>
        <w:rPr>
          <w:rFonts w:ascii="Times New Roman" w:hAnsi="Times New Roman" w:eastAsia="仿宋_GB2312" w:cs="Times New Roman"/>
          <w:color w:val="000000"/>
          <w:kern w:val="0"/>
          <w:szCs w:val="21"/>
        </w:rPr>
      </w:pPr>
      <w:r>
        <w:rPr>
          <w:rFonts w:ascii="Times New Roman" w:hAnsi="Times New Roman" w:eastAsia="仿宋_GB2312" w:cs="Times New Roman"/>
          <w:color w:val="000000"/>
          <w:kern w:val="0"/>
          <w:szCs w:val="21"/>
        </w:rPr>
        <w:t>6.房屋装（修）饰补偿每增减一项增减10—20元/</w:t>
      </w:r>
      <w:r>
        <w:rPr>
          <w:rFonts w:ascii="Times New Roman" w:hAnsi="Times New Roman" w:cs="Times New Roman"/>
          <w:color w:val="000000"/>
          <w:kern w:val="0"/>
          <w:szCs w:val="21"/>
        </w:rPr>
        <w:t>㎡</w:t>
      </w:r>
      <w:r>
        <w:rPr>
          <w:rFonts w:ascii="Times New Roman" w:hAnsi="Times New Roman" w:eastAsia="仿宋_GB2312" w:cs="Times New Roman"/>
          <w:color w:val="000000"/>
          <w:kern w:val="0"/>
          <w:szCs w:val="21"/>
        </w:rPr>
        <w:t>，无水、电进户各减1%。</w:t>
      </w:r>
    </w:p>
    <w:p>
      <w:pPr>
        <w:widowControl w:val="0"/>
        <w:spacing w:line="280" w:lineRule="exact"/>
        <w:ind w:firstLine="420" w:firstLineChars="200"/>
        <w:rPr>
          <w:rFonts w:ascii="Times New Roman" w:hAnsi="Times New Roman" w:eastAsia="仿宋_GB2312" w:cs="Times New Roman"/>
          <w:color w:val="000000"/>
          <w:kern w:val="0"/>
          <w:szCs w:val="21"/>
        </w:rPr>
      </w:pPr>
      <w:r>
        <w:rPr>
          <w:rFonts w:ascii="Times New Roman" w:hAnsi="Times New Roman" w:eastAsia="仿宋_GB2312" w:cs="Times New Roman"/>
          <w:color w:val="000000"/>
          <w:kern w:val="0"/>
          <w:szCs w:val="21"/>
        </w:rPr>
        <w:t>7.房屋成新折算小于5年的按100％计算，大于5年的按95％计算。</w:t>
      </w:r>
    </w:p>
    <w:p/>
    <w:sectPr>
      <w:pgSz w:w="11906" w:h="16838"/>
      <w:pgMar w:top="1757" w:right="1474" w:bottom="147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JkMDk4MTMzNGNiNmU5OWIyZDkyZTk2ZDNkMzdjZjgifQ=="/>
  </w:docVars>
  <w:rsids>
    <w:rsidRoot w:val="00000000"/>
    <w:rsid w:val="1E380230"/>
    <w:rsid w:val="3FFE7F58"/>
    <w:rsid w:val="42467BA6"/>
    <w:rsid w:val="79444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next w:val="3"/>
    <w:qFormat/>
    <w:uiPriority w:val="0"/>
    <w:pPr>
      <w:widowControl w:val="0"/>
      <w:jc w:val="both"/>
    </w:pPr>
    <w:rPr>
      <w:rFonts w:ascii="宋体" w:hAnsi="Times New Roman" w:eastAsia="宋体" w:cs="Courier New"/>
      <w:kern w:val="2"/>
      <w:sz w:val="21"/>
      <w:szCs w:val="21"/>
      <w:lang w:val="en-US" w:eastAsia="zh-CN" w:bidi="ar-SA"/>
    </w:rPr>
  </w:style>
  <w:style w:type="paragraph" w:styleId="3">
    <w:name w:val="Normal (Web)"/>
    <w:basedOn w:val="1"/>
    <w:next w:val="4"/>
    <w:unhideWhenUsed/>
    <w:qFormat/>
    <w:uiPriority w:val="99"/>
    <w:rPr>
      <w:rFonts w:ascii="Times New Roman" w:hAnsi="Times New Roman" w:cs="Times New Roman"/>
      <w:sz w:val="24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Administrator.2016-20170517BZ</dc:creator>
  <cp:lastModifiedBy>唐亚云</cp:lastModifiedBy>
  <dcterms:modified xsi:type="dcterms:W3CDTF">2024-05-15T03:31:57Z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990112D8A13042429DE4DC0F5B059CB4_12</vt:lpwstr>
  </property>
</Properties>
</file>