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line="560" w:lineRule="exact"/>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附件2</w:t>
      </w:r>
    </w:p>
    <w:p>
      <w:pPr>
        <w:pStyle w:val="2"/>
        <w:spacing w:line="520" w:lineRule="exact"/>
        <w:jc w:val="center"/>
        <w:rPr>
          <w:rFonts w:ascii="Times New Roman" w:eastAsia="方正小标宋简体" w:cs="Times New Roman"/>
          <w:bCs/>
          <w:color w:val="000000"/>
          <w:kern w:val="0"/>
          <w:sz w:val="44"/>
          <w:szCs w:val="44"/>
          <w:lang w:val="zh-CN"/>
        </w:rPr>
      </w:pPr>
      <w:r>
        <w:rPr>
          <w:rFonts w:ascii="Times New Roman" w:eastAsia="方正小标宋简体" w:cs="Times New Roman"/>
          <w:bCs/>
          <w:color w:val="000000"/>
          <w:kern w:val="0"/>
          <w:sz w:val="44"/>
          <w:szCs w:val="44"/>
          <w:lang w:val="zh-CN"/>
        </w:rPr>
        <w:t>永州市征收专业菜地、专业鱼池（塘）青苗</w:t>
      </w:r>
    </w:p>
    <w:p>
      <w:pPr>
        <w:pStyle w:val="2"/>
        <w:spacing w:line="520" w:lineRule="exact"/>
        <w:jc w:val="center"/>
        <w:rPr>
          <w:rFonts w:ascii="Times New Roman" w:eastAsia="方正小标宋简体" w:cs="Times New Roman"/>
          <w:color w:val="000000"/>
          <w:kern w:val="0"/>
          <w:sz w:val="44"/>
          <w:szCs w:val="44"/>
          <w:lang w:val="zh-CN"/>
        </w:rPr>
      </w:pPr>
      <w:r>
        <w:rPr>
          <w:rFonts w:ascii="Times New Roman" w:eastAsia="方正小标宋简体" w:cs="Times New Roman"/>
          <w:bCs/>
          <w:color w:val="000000"/>
          <w:kern w:val="0"/>
          <w:sz w:val="44"/>
          <w:szCs w:val="44"/>
          <w:lang w:val="zh-CN"/>
        </w:rPr>
        <w:t xml:space="preserve">补偿标准 </w:t>
      </w:r>
      <w:r>
        <w:rPr>
          <w:rFonts w:ascii="Times New Roman" w:eastAsia="方正小标宋简体" w:cs="Times New Roman"/>
          <w:color w:val="000000"/>
          <w:kern w:val="0"/>
          <w:sz w:val="44"/>
          <w:szCs w:val="44"/>
          <w:lang w:val="zh-CN"/>
        </w:rPr>
        <w:t xml:space="preserve"> </w:t>
      </w:r>
      <w:r>
        <w:rPr>
          <w:rFonts w:ascii="Times New Roman" w:eastAsia="方正小标宋简体" w:cs="Times New Roman"/>
          <w:bCs/>
          <w:color w:val="000000"/>
          <w:kern w:val="0"/>
          <w:sz w:val="44"/>
          <w:szCs w:val="44"/>
          <w:lang w:val="zh-CN"/>
        </w:rPr>
        <w:t xml:space="preserve">         </w:t>
      </w:r>
    </w:p>
    <w:p>
      <w:pPr>
        <w:widowControl w:val="0"/>
        <w:spacing w:line="520" w:lineRule="exact"/>
        <w:ind w:firstLine="6960" w:firstLineChars="2900"/>
        <w:outlineLvl w:val="1"/>
        <w:rPr>
          <w:rFonts w:ascii="Times New Roman" w:hAnsi="Times New Roman" w:eastAsia="仿宋_GB2312" w:cs="Times New Roman"/>
          <w:color w:val="000000"/>
          <w:kern w:val="0"/>
          <w:sz w:val="24"/>
        </w:rPr>
      </w:pPr>
      <w:r>
        <w:rPr>
          <w:rFonts w:ascii="Times New Roman" w:hAnsi="Times New Roman" w:eastAsia="仿宋_GB2312" w:cs="Times New Roman"/>
          <w:color w:val="000000"/>
          <w:sz w:val="24"/>
        </w:rPr>
        <w:t xml:space="preserve">单位：元/亩 </w:t>
      </w:r>
    </w:p>
    <w:tbl>
      <w:tblPr>
        <w:tblStyle w:val="5"/>
        <w:tblW w:w="8918" w:type="dxa"/>
        <w:jc w:val="center"/>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0" w:type="dxa"/>
          <w:left w:w="108" w:type="dxa"/>
          <w:bottom w:w="0" w:type="dxa"/>
          <w:right w:w="108" w:type="dxa"/>
        </w:tblCellMar>
      </w:tblPr>
      <w:tblGrid>
        <w:gridCol w:w="795"/>
        <w:gridCol w:w="780"/>
        <w:gridCol w:w="868"/>
        <w:gridCol w:w="6475"/>
      </w:tblGrid>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108" w:type="dxa"/>
            <w:bottom w:w="0" w:type="dxa"/>
            <w:right w:w="108" w:type="dxa"/>
          </w:tblCellMar>
        </w:tblPrEx>
        <w:trPr>
          <w:trHeight w:val="859" w:hRule="atLeast"/>
          <w:jc w:val="center"/>
        </w:trPr>
        <w:tc>
          <w:tcPr>
            <w:tcW w:w="795" w:type="dxa"/>
            <w:tcBorders>
              <w:top w:val="single" w:color="000000" w:sz="4" w:space="0"/>
              <w:left w:val="single" w:color="000000" w:sz="4" w:space="0"/>
              <w:bottom w:val="single" w:color="000000" w:sz="4" w:space="0"/>
              <w:right w:val="single" w:color="000000" w:sz="4" w:space="0"/>
            </w:tcBorders>
            <w:noWrap/>
            <w:tcMar>
              <w:top w:w="15" w:type="dxa"/>
              <w:left w:w="15" w:type="dxa"/>
              <w:bottom w:w="15" w:type="dxa"/>
              <w:right w:w="15" w:type="dxa"/>
            </w:tcMar>
            <w:vAlign w:val="center"/>
          </w:tcPr>
          <w:p>
            <w:pPr>
              <w:widowControl w:val="0"/>
              <w:spacing w:line="360" w:lineRule="exact"/>
              <w:jc w:val="center"/>
              <w:outlineLvl w:val="1"/>
              <w:rPr>
                <w:rFonts w:ascii="Times New Roman" w:hAnsi="Times New Roman" w:eastAsia="黑体" w:cs="Times New Roman"/>
                <w:color w:val="000000"/>
                <w:sz w:val="24"/>
              </w:rPr>
            </w:pPr>
            <w:r>
              <w:rPr>
                <w:rFonts w:ascii="Times New Roman" w:hAnsi="Times New Roman" w:eastAsia="黑体" w:cs="Times New Roman"/>
                <w:color w:val="000000"/>
                <w:sz w:val="24"/>
              </w:rPr>
              <w:t>土地</w:t>
            </w:r>
          </w:p>
          <w:p>
            <w:pPr>
              <w:pStyle w:val="3"/>
              <w:widowControl w:val="0"/>
              <w:spacing w:line="360" w:lineRule="exact"/>
              <w:jc w:val="center"/>
              <w:rPr>
                <w:rFonts w:eastAsia="黑体"/>
                <w:color w:val="000000"/>
              </w:rPr>
            </w:pPr>
            <w:r>
              <w:rPr>
                <w:rFonts w:eastAsia="黑体"/>
                <w:color w:val="000000"/>
              </w:rPr>
              <w:t>种类</w:t>
            </w:r>
          </w:p>
        </w:tc>
        <w:tc>
          <w:tcPr>
            <w:tcW w:w="780" w:type="dxa"/>
            <w:tcBorders>
              <w:top w:val="single" w:color="000000" w:sz="4" w:space="0"/>
              <w:left w:val="single" w:color="000000" w:sz="4" w:space="0"/>
              <w:bottom w:val="single" w:color="000000" w:sz="4" w:space="0"/>
              <w:right w:val="single" w:color="000000" w:sz="4" w:space="0"/>
            </w:tcBorders>
            <w:noWrap/>
            <w:tcMar>
              <w:top w:w="15" w:type="dxa"/>
              <w:left w:w="15" w:type="dxa"/>
              <w:bottom w:w="15" w:type="dxa"/>
              <w:right w:w="15" w:type="dxa"/>
            </w:tcMar>
            <w:vAlign w:val="center"/>
          </w:tcPr>
          <w:p>
            <w:pPr>
              <w:pStyle w:val="3"/>
              <w:widowControl w:val="0"/>
              <w:spacing w:line="360" w:lineRule="exact"/>
              <w:jc w:val="center"/>
              <w:rPr>
                <w:rFonts w:eastAsia="黑体"/>
                <w:color w:val="000000"/>
              </w:rPr>
            </w:pPr>
            <w:r>
              <w:rPr>
                <w:rFonts w:eastAsia="黑体"/>
                <w:color w:val="000000"/>
              </w:rPr>
              <w:t>类别</w:t>
            </w:r>
          </w:p>
        </w:tc>
        <w:tc>
          <w:tcPr>
            <w:tcW w:w="868" w:type="dxa"/>
            <w:tcBorders>
              <w:top w:val="single" w:color="000000" w:sz="4" w:space="0"/>
              <w:left w:val="single" w:color="000000" w:sz="4" w:space="0"/>
              <w:bottom w:val="single" w:color="000000" w:sz="4" w:space="0"/>
              <w:right w:val="single" w:color="000000" w:sz="4" w:space="0"/>
            </w:tcBorders>
            <w:noWrap/>
            <w:tcMar>
              <w:top w:w="15" w:type="dxa"/>
              <w:left w:w="15" w:type="dxa"/>
              <w:bottom w:w="15" w:type="dxa"/>
              <w:right w:w="15" w:type="dxa"/>
            </w:tcMar>
            <w:vAlign w:val="center"/>
          </w:tcPr>
          <w:p>
            <w:pPr>
              <w:pStyle w:val="3"/>
              <w:widowControl w:val="0"/>
              <w:spacing w:line="360" w:lineRule="exact"/>
              <w:jc w:val="center"/>
              <w:rPr>
                <w:rFonts w:eastAsia="黑体"/>
                <w:color w:val="000000"/>
              </w:rPr>
            </w:pPr>
            <w:r>
              <w:rPr>
                <w:rFonts w:eastAsia="黑体"/>
                <w:color w:val="000000"/>
              </w:rPr>
              <w:t>青苗</w:t>
            </w:r>
          </w:p>
          <w:p>
            <w:pPr>
              <w:pStyle w:val="3"/>
              <w:widowControl w:val="0"/>
              <w:spacing w:line="360" w:lineRule="exact"/>
              <w:jc w:val="center"/>
              <w:rPr>
                <w:rFonts w:eastAsia="黑体"/>
                <w:color w:val="000000"/>
              </w:rPr>
            </w:pPr>
            <w:r>
              <w:rPr>
                <w:rFonts w:eastAsia="黑体"/>
                <w:color w:val="000000"/>
              </w:rPr>
              <w:t>补偿</w:t>
            </w:r>
          </w:p>
          <w:p>
            <w:pPr>
              <w:pStyle w:val="3"/>
              <w:widowControl w:val="0"/>
              <w:spacing w:line="360" w:lineRule="exact"/>
              <w:jc w:val="center"/>
              <w:rPr>
                <w:rFonts w:eastAsia="黑体"/>
                <w:color w:val="000000"/>
              </w:rPr>
            </w:pPr>
            <w:r>
              <w:rPr>
                <w:rFonts w:eastAsia="黑体"/>
                <w:color w:val="000000"/>
              </w:rPr>
              <w:t>标准</w:t>
            </w:r>
          </w:p>
        </w:tc>
        <w:tc>
          <w:tcPr>
            <w:tcW w:w="6475" w:type="dxa"/>
            <w:tcBorders>
              <w:top w:val="single" w:color="000000" w:sz="4" w:space="0"/>
              <w:left w:val="single" w:color="000000" w:sz="4" w:space="0"/>
              <w:bottom w:val="single" w:color="000000" w:sz="4" w:space="0"/>
              <w:right w:val="single" w:color="000000" w:sz="4" w:space="0"/>
            </w:tcBorders>
            <w:noWrap/>
            <w:tcMar>
              <w:top w:w="15" w:type="dxa"/>
              <w:left w:w="15" w:type="dxa"/>
              <w:bottom w:w="15" w:type="dxa"/>
              <w:right w:w="15" w:type="dxa"/>
            </w:tcMar>
            <w:vAlign w:val="center"/>
          </w:tcPr>
          <w:p>
            <w:pPr>
              <w:pStyle w:val="3"/>
              <w:widowControl w:val="0"/>
              <w:spacing w:line="360" w:lineRule="exact"/>
              <w:ind w:hanging="840"/>
              <w:jc w:val="center"/>
              <w:rPr>
                <w:rFonts w:eastAsia="黑体"/>
                <w:color w:val="000000"/>
              </w:rPr>
            </w:pPr>
            <w:r>
              <w:rPr>
                <w:rFonts w:eastAsia="黑体"/>
                <w:color w:val="000000"/>
              </w:rPr>
              <w:t>备  注</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108" w:type="dxa"/>
            <w:bottom w:w="0" w:type="dxa"/>
            <w:right w:w="108" w:type="dxa"/>
          </w:tblCellMar>
        </w:tblPrEx>
        <w:trPr>
          <w:cantSplit/>
          <w:trHeight w:val="1899" w:hRule="atLeast"/>
          <w:jc w:val="center"/>
        </w:trPr>
        <w:tc>
          <w:tcPr>
            <w:tcW w:w="795"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bottom w:w="15" w:type="dxa"/>
              <w:right w:w="15" w:type="dxa"/>
            </w:tcMar>
            <w:vAlign w:val="center"/>
          </w:tcPr>
          <w:p>
            <w:pPr>
              <w:pStyle w:val="3"/>
              <w:widowControl w:val="0"/>
              <w:spacing w:line="520" w:lineRule="exact"/>
              <w:jc w:val="center"/>
              <w:rPr>
                <w:rFonts w:eastAsia="仿宋_GB2312"/>
                <w:color w:val="000000"/>
              </w:rPr>
            </w:pPr>
            <w:r>
              <w:rPr>
                <w:rFonts w:eastAsia="仿宋_GB2312"/>
                <w:color w:val="000000"/>
              </w:rPr>
              <w:t>专</w:t>
            </w:r>
          </w:p>
          <w:p>
            <w:pPr>
              <w:pStyle w:val="3"/>
              <w:widowControl w:val="0"/>
              <w:spacing w:line="520" w:lineRule="exact"/>
              <w:jc w:val="center"/>
              <w:rPr>
                <w:rFonts w:eastAsia="仿宋_GB2312"/>
                <w:color w:val="000000"/>
              </w:rPr>
            </w:pPr>
            <w:r>
              <w:rPr>
                <w:rFonts w:eastAsia="仿宋_GB2312"/>
                <w:color w:val="000000"/>
              </w:rPr>
              <w:t>业</w:t>
            </w:r>
          </w:p>
          <w:p>
            <w:pPr>
              <w:pStyle w:val="3"/>
              <w:widowControl w:val="0"/>
              <w:spacing w:line="520" w:lineRule="exact"/>
              <w:jc w:val="center"/>
              <w:rPr>
                <w:rFonts w:eastAsia="仿宋_GB2312"/>
                <w:color w:val="000000"/>
              </w:rPr>
            </w:pPr>
            <w:r>
              <w:rPr>
                <w:rFonts w:eastAsia="仿宋_GB2312"/>
                <w:color w:val="000000"/>
              </w:rPr>
              <w:t>菜</w:t>
            </w:r>
          </w:p>
          <w:p>
            <w:pPr>
              <w:pStyle w:val="3"/>
              <w:widowControl w:val="0"/>
              <w:spacing w:line="520" w:lineRule="exact"/>
              <w:jc w:val="center"/>
              <w:rPr>
                <w:rFonts w:eastAsia="仿宋_GB2312"/>
                <w:color w:val="000000"/>
              </w:rPr>
            </w:pPr>
            <w:r>
              <w:rPr>
                <w:rFonts w:eastAsia="仿宋_GB2312"/>
                <w:color w:val="000000"/>
              </w:rPr>
              <w:t>地</w:t>
            </w:r>
          </w:p>
        </w:tc>
        <w:tc>
          <w:tcPr>
            <w:tcW w:w="780" w:type="dxa"/>
            <w:tcBorders>
              <w:top w:val="single" w:color="000000" w:sz="4" w:space="0"/>
              <w:left w:val="single" w:color="000000" w:sz="4" w:space="0"/>
              <w:bottom w:val="single" w:color="000000" w:sz="4" w:space="0"/>
              <w:right w:val="single" w:color="000000" w:sz="4" w:space="0"/>
            </w:tcBorders>
            <w:noWrap/>
            <w:tcMar>
              <w:top w:w="15" w:type="dxa"/>
              <w:left w:w="15" w:type="dxa"/>
              <w:bottom w:w="15" w:type="dxa"/>
              <w:right w:w="15" w:type="dxa"/>
            </w:tcMar>
            <w:vAlign w:val="center"/>
          </w:tcPr>
          <w:p>
            <w:pPr>
              <w:pStyle w:val="3"/>
              <w:widowControl w:val="0"/>
              <w:spacing w:line="520" w:lineRule="exact"/>
              <w:jc w:val="center"/>
              <w:rPr>
                <w:rFonts w:eastAsia="仿宋_GB2312"/>
                <w:color w:val="000000"/>
              </w:rPr>
            </w:pPr>
            <w:r>
              <w:rPr>
                <w:rFonts w:eastAsia="仿宋_GB2312"/>
                <w:color w:val="000000"/>
              </w:rPr>
              <w:t>一</w:t>
            </w:r>
          </w:p>
        </w:tc>
        <w:tc>
          <w:tcPr>
            <w:tcW w:w="868" w:type="dxa"/>
            <w:tcBorders>
              <w:top w:val="single" w:color="000000" w:sz="4" w:space="0"/>
              <w:left w:val="single" w:color="000000" w:sz="4" w:space="0"/>
              <w:bottom w:val="single" w:color="000000" w:sz="4" w:space="0"/>
              <w:right w:val="single" w:color="000000" w:sz="4" w:space="0"/>
            </w:tcBorders>
            <w:noWrap/>
            <w:tcMar>
              <w:top w:w="15" w:type="dxa"/>
              <w:left w:w="15" w:type="dxa"/>
              <w:bottom w:w="15" w:type="dxa"/>
              <w:right w:w="15" w:type="dxa"/>
            </w:tcMar>
            <w:vAlign w:val="center"/>
          </w:tcPr>
          <w:p>
            <w:pPr>
              <w:pStyle w:val="3"/>
              <w:widowControl w:val="0"/>
              <w:spacing w:line="520" w:lineRule="exact"/>
              <w:jc w:val="center"/>
              <w:rPr>
                <w:rFonts w:eastAsia="仿宋_GB2312"/>
                <w:color w:val="000000"/>
              </w:rPr>
            </w:pPr>
            <w:r>
              <w:rPr>
                <w:rFonts w:eastAsia="仿宋_GB2312"/>
                <w:color w:val="000000"/>
              </w:rPr>
              <w:t>7000</w:t>
            </w:r>
          </w:p>
        </w:tc>
        <w:tc>
          <w:tcPr>
            <w:tcW w:w="6475"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bottom w:w="15" w:type="dxa"/>
              <w:right w:w="15" w:type="dxa"/>
            </w:tcMar>
            <w:vAlign w:val="center"/>
          </w:tcPr>
          <w:p>
            <w:pPr>
              <w:pStyle w:val="3"/>
              <w:widowControl w:val="0"/>
              <w:spacing w:line="520" w:lineRule="exact"/>
              <w:rPr>
                <w:rFonts w:eastAsia="仿宋_GB2312"/>
                <w:color w:val="000000"/>
              </w:rPr>
            </w:pPr>
            <w:r>
              <w:rPr>
                <w:rFonts w:eastAsia="仿宋_GB2312"/>
                <w:color w:val="000000"/>
              </w:rPr>
              <w:t>1.专业菜地，指县级（含县级）以上人民政府或农业农村行政主管部门批准范围内常年耕种并有相关配套设施的蔬菜基地（蔬菜基地范围以外种植的蔬菜不按此标准补偿）。</w:t>
            </w:r>
          </w:p>
          <w:p>
            <w:pPr>
              <w:pStyle w:val="3"/>
              <w:widowControl w:val="0"/>
              <w:spacing w:line="520" w:lineRule="exact"/>
              <w:rPr>
                <w:rFonts w:eastAsia="仿宋_GB2312"/>
                <w:color w:val="000000"/>
              </w:rPr>
            </w:pPr>
            <w:r>
              <w:rPr>
                <w:rFonts w:eastAsia="仿宋_GB2312"/>
                <w:color w:val="000000"/>
              </w:rPr>
              <w:t>2.县级（含县级）以上人民</w:t>
            </w:r>
            <w:bookmarkStart w:id="0" w:name="_GoBack"/>
            <w:bookmarkEnd w:id="0"/>
            <w:r>
              <w:rPr>
                <w:rFonts w:eastAsia="仿宋_GB2312"/>
                <w:color w:val="000000"/>
              </w:rPr>
              <w:t>政府或农业农村行政主管部门批准的专业蔬菜村，只有批复文件、一年内承包农户未种植蔬菜的，按实际种植农作物补偿青苗费。抛荒或未耕种的不予补偿。</w:t>
            </w:r>
          </w:p>
          <w:p>
            <w:pPr>
              <w:pStyle w:val="3"/>
              <w:widowControl w:val="0"/>
              <w:spacing w:line="520" w:lineRule="exact"/>
              <w:rPr>
                <w:rFonts w:eastAsia="仿宋_GB2312"/>
                <w:color w:val="000000"/>
              </w:rPr>
            </w:pPr>
            <w:r>
              <w:rPr>
                <w:rFonts w:eastAsia="仿宋_GB2312"/>
                <w:color w:val="000000"/>
              </w:rPr>
              <w:t>3.一类菜地为土质肥沃，有灌溉设施、地势平坦、常年耕种的高产菜田或大棚菜地；二类菜地为土质肥沃，自流灌溉，常年耕种的菜田，平土或梯耕菜地。</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108" w:type="dxa"/>
            <w:bottom w:w="0" w:type="dxa"/>
            <w:right w:w="108" w:type="dxa"/>
          </w:tblCellMar>
        </w:tblPrEx>
        <w:trPr>
          <w:cantSplit/>
          <w:trHeight w:val="2873" w:hRule="atLeast"/>
          <w:jc w:val="center"/>
        </w:trPr>
        <w:tc>
          <w:tcPr>
            <w:tcW w:w="795"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val="0"/>
              <w:rPr>
                <w:rFonts w:ascii="Times New Roman" w:hAnsi="Times New Roman" w:cs="Times New Roman"/>
                <w:color w:val="000000"/>
              </w:rPr>
            </w:pPr>
          </w:p>
        </w:tc>
        <w:tc>
          <w:tcPr>
            <w:tcW w:w="780" w:type="dxa"/>
            <w:tcBorders>
              <w:top w:val="single" w:color="000000" w:sz="4" w:space="0"/>
              <w:left w:val="single" w:color="000000" w:sz="4" w:space="0"/>
              <w:bottom w:val="single" w:color="000000" w:sz="4" w:space="0"/>
              <w:right w:val="single" w:color="000000" w:sz="4" w:space="0"/>
            </w:tcBorders>
            <w:noWrap/>
            <w:tcMar>
              <w:top w:w="15" w:type="dxa"/>
              <w:left w:w="15" w:type="dxa"/>
              <w:bottom w:w="15" w:type="dxa"/>
              <w:right w:w="15" w:type="dxa"/>
            </w:tcMar>
            <w:vAlign w:val="center"/>
          </w:tcPr>
          <w:p>
            <w:pPr>
              <w:pStyle w:val="3"/>
              <w:widowControl w:val="0"/>
              <w:spacing w:line="520" w:lineRule="exact"/>
              <w:jc w:val="center"/>
              <w:rPr>
                <w:rFonts w:eastAsia="仿宋_GB2312"/>
                <w:color w:val="000000"/>
              </w:rPr>
            </w:pPr>
            <w:r>
              <w:rPr>
                <w:rFonts w:eastAsia="仿宋_GB2312"/>
                <w:color w:val="000000"/>
              </w:rPr>
              <w:t>二</w:t>
            </w:r>
          </w:p>
        </w:tc>
        <w:tc>
          <w:tcPr>
            <w:tcW w:w="868" w:type="dxa"/>
            <w:tcBorders>
              <w:top w:val="single" w:color="000000" w:sz="4" w:space="0"/>
              <w:left w:val="single" w:color="000000" w:sz="4" w:space="0"/>
              <w:bottom w:val="single" w:color="000000" w:sz="4" w:space="0"/>
              <w:right w:val="single" w:color="000000" w:sz="4" w:space="0"/>
            </w:tcBorders>
            <w:noWrap/>
            <w:tcMar>
              <w:top w:w="15" w:type="dxa"/>
              <w:left w:w="15" w:type="dxa"/>
              <w:bottom w:w="15" w:type="dxa"/>
              <w:right w:w="15" w:type="dxa"/>
            </w:tcMar>
            <w:vAlign w:val="center"/>
          </w:tcPr>
          <w:p>
            <w:pPr>
              <w:pStyle w:val="3"/>
              <w:widowControl w:val="0"/>
              <w:spacing w:line="520" w:lineRule="exact"/>
              <w:jc w:val="center"/>
              <w:rPr>
                <w:rFonts w:eastAsia="仿宋_GB2312"/>
                <w:color w:val="000000"/>
              </w:rPr>
            </w:pPr>
            <w:r>
              <w:rPr>
                <w:rFonts w:eastAsia="仿宋_GB2312"/>
                <w:color w:val="000000"/>
              </w:rPr>
              <w:t>6000</w:t>
            </w:r>
          </w:p>
        </w:tc>
        <w:tc>
          <w:tcPr>
            <w:tcW w:w="6475"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val="0"/>
              <w:rPr>
                <w:rFonts w:ascii="Times New Roman" w:hAnsi="Times New Roman" w:cs="Times New Roman"/>
                <w:color w:val="000000"/>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108" w:type="dxa"/>
            <w:bottom w:w="0" w:type="dxa"/>
            <w:right w:w="108" w:type="dxa"/>
          </w:tblCellMar>
        </w:tblPrEx>
        <w:trPr>
          <w:cantSplit/>
          <w:trHeight w:val="1578" w:hRule="atLeast"/>
          <w:jc w:val="center"/>
        </w:trPr>
        <w:tc>
          <w:tcPr>
            <w:tcW w:w="1575" w:type="dxa"/>
            <w:gridSpan w:val="2"/>
            <w:tcBorders>
              <w:top w:val="single" w:color="000000" w:sz="4" w:space="0"/>
              <w:left w:val="single" w:color="000000" w:sz="4" w:space="0"/>
              <w:bottom w:val="single" w:color="000000" w:sz="4" w:space="0"/>
              <w:right w:val="single" w:color="auto" w:sz="4" w:space="0"/>
            </w:tcBorders>
            <w:noWrap/>
            <w:tcMar>
              <w:top w:w="15" w:type="dxa"/>
              <w:left w:w="15" w:type="dxa"/>
              <w:bottom w:w="15" w:type="dxa"/>
              <w:right w:w="15" w:type="dxa"/>
            </w:tcMar>
            <w:vAlign w:val="center"/>
          </w:tcPr>
          <w:p>
            <w:pPr>
              <w:pStyle w:val="3"/>
              <w:widowControl w:val="0"/>
              <w:spacing w:line="520" w:lineRule="exact"/>
              <w:jc w:val="center"/>
              <w:rPr>
                <w:rFonts w:eastAsia="仿宋_GB2312"/>
                <w:color w:val="000000"/>
              </w:rPr>
            </w:pPr>
            <w:r>
              <w:rPr>
                <w:rFonts w:eastAsia="仿宋_GB2312"/>
                <w:color w:val="000000"/>
              </w:rPr>
              <w:t>专</w:t>
            </w:r>
          </w:p>
          <w:p>
            <w:pPr>
              <w:pStyle w:val="3"/>
              <w:widowControl w:val="0"/>
              <w:spacing w:line="520" w:lineRule="exact"/>
              <w:jc w:val="center"/>
              <w:rPr>
                <w:rFonts w:eastAsia="仿宋_GB2312"/>
                <w:color w:val="000000"/>
              </w:rPr>
            </w:pPr>
            <w:r>
              <w:rPr>
                <w:rFonts w:eastAsia="仿宋_GB2312"/>
                <w:color w:val="000000"/>
              </w:rPr>
              <w:t>业</w:t>
            </w:r>
          </w:p>
          <w:p>
            <w:pPr>
              <w:pStyle w:val="3"/>
              <w:widowControl w:val="0"/>
              <w:spacing w:line="520" w:lineRule="exact"/>
              <w:jc w:val="center"/>
              <w:rPr>
                <w:rFonts w:eastAsia="仿宋_GB2312"/>
                <w:color w:val="000000"/>
              </w:rPr>
            </w:pPr>
            <w:r>
              <w:rPr>
                <w:rFonts w:eastAsia="仿宋_GB2312"/>
                <w:color w:val="000000"/>
              </w:rPr>
              <w:t>鱼</w:t>
            </w:r>
          </w:p>
          <w:p>
            <w:pPr>
              <w:pStyle w:val="4"/>
              <w:widowControl w:val="0"/>
              <w:tabs>
                <w:tab w:val="right" w:pos="8307"/>
                <w:tab w:val="clear" w:pos="8306"/>
              </w:tabs>
              <w:spacing w:line="520" w:lineRule="exact"/>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（池）</w:t>
            </w:r>
          </w:p>
          <w:p>
            <w:pPr>
              <w:pStyle w:val="3"/>
              <w:widowControl w:val="0"/>
              <w:spacing w:line="520" w:lineRule="exact"/>
              <w:jc w:val="center"/>
              <w:rPr>
                <w:rFonts w:eastAsia="仿宋_GB2312"/>
                <w:color w:val="000000"/>
              </w:rPr>
            </w:pPr>
            <w:r>
              <w:rPr>
                <w:rFonts w:eastAsia="仿宋_GB2312"/>
                <w:color w:val="000000"/>
              </w:rPr>
              <w:t>塘</w:t>
            </w:r>
          </w:p>
        </w:tc>
        <w:tc>
          <w:tcPr>
            <w:tcW w:w="868" w:type="dxa"/>
            <w:tcBorders>
              <w:top w:val="single" w:color="000000" w:sz="4" w:space="0"/>
              <w:left w:val="single" w:color="auto" w:sz="4" w:space="0"/>
              <w:bottom w:val="single" w:color="000000" w:sz="4" w:space="0"/>
              <w:right w:val="single" w:color="000000" w:sz="4" w:space="0"/>
            </w:tcBorders>
            <w:noWrap w:val="0"/>
            <w:vAlign w:val="center"/>
          </w:tcPr>
          <w:p>
            <w:pPr>
              <w:widowControl w:val="0"/>
              <w:jc w:val="center"/>
              <w:textAlignment w:val="auto"/>
              <w:rPr>
                <w:rFonts w:ascii="Times New Roman" w:hAnsi="Times New Roman" w:eastAsia="仿宋_GB2312" w:cs="Times New Roman"/>
                <w:color w:val="000000"/>
              </w:rPr>
            </w:pPr>
            <w:r>
              <w:rPr>
                <w:rFonts w:ascii="Times New Roman" w:hAnsi="Times New Roman" w:eastAsia="仿宋_GB2312" w:cs="Times New Roman"/>
                <w:color w:val="000000"/>
              </w:rPr>
              <w:t>5000</w:t>
            </w:r>
          </w:p>
        </w:tc>
        <w:tc>
          <w:tcPr>
            <w:tcW w:w="6475" w:type="dxa"/>
            <w:tcBorders>
              <w:top w:val="single" w:color="000000" w:sz="4" w:space="0"/>
              <w:left w:val="single" w:color="000000" w:sz="4" w:space="0"/>
              <w:bottom w:val="single" w:color="000000" w:sz="4" w:space="0"/>
              <w:right w:val="single" w:color="000000" w:sz="4" w:space="0"/>
            </w:tcBorders>
            <w:noWrap/>
            <w:tcMar>
              <w:top w:w="15" w:type="dxa"/>
              <w:left w:w="15" w:type="dxa"/>
              <w:bottom w:w="15" w:type="dxa"/>
              <w:right w:w="15" w:type="dxa"/>
            </w:tcMar>
            <w:vAlign w:val="center"/>
          </w:tcPr>
          <w:p>
            <w:pPr>
              <w:pStyle w:val="3"/>
              <w:widowControl w:val="0"/>
              <w:spacing w:line="520" w:lineRule="exact"/>
              <w:rPr>
                <w:rFonts w:eastAsia="仿宋_GB2312"/>
                <w:color w:val="000000"/>
              </w:rPr>
            </w:pPr>
            <w:r>
              <w:rPr>
                <w:rFonts w:eastAsia="仿宋_GB2312"/>
                <w:color w:val="000000"/>
              </w:rPr>
              <w:t>1.专业鱼（池）塘指县级（含县级）以上人民政府或畜牧水产行政主管部门批准并颁发水产养殖使用证、自动排灌、不承担灌溉任务的精养鱼（池）塘。不符合以上条件的精养鱼塘不按此标准补偿。</w:t>
            </w:r>
          </w:p>
          <w:p>
            <w:pPr>
              <w:pStyle w:val="3"/>
              <w:widowControl w:val="0"/>
              <w:spacing w:line="520" w:lineRule="exact"/>
              <w:rPr>
                <w:rFonts w:eastAsia="仿宋_GB2312"/>
                <w:color w:val="000000"/>
              </w:rPr>
            </w:pPr>
            <w:r>
              <w:rPr>
                <w:rFonts w:eastAsia="仿宋_GB2312"/>
                <w:color w:val="000000"/>
              </w:rPr>
              <w:t>2.县级（含县级）以上人民政府或畜牧水产行政主管部门批准并颁发专业水产养殖证的鱼（池）塘，实施征地时未养殖的，按一般水（池）塘补偿。</w:t>
            </w:r>
          </w:p>
          <w:p>
            <w:pPr>
              <w:widowControl w:val="0"/>
              <w:spacing w:line="5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sz w:val="24"/>
              </w:rPr>
              <w:t>3.鳖、龟、蛙、虾、蟹等特种养殖一般按补偿标准的120%－150%补偿。</w:t>
            </w:r>
          </w:p>
        </w:tc>
      </w:tr>
    </w:tbl>
    <w:p/>
    <w:sectPr>
      <w:pgSz w:w="11906" w:h="16838"/>
      <w:pgMar w:top="1757" w:right="1474" w:bottom="147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JkMDk4MTMzNGNiNmU5OWIyZDkyZTk2ZDNkMzdjZjgifQ=="/>
  </w:docVars>
  <w:rsids>
    <w:rsidRoot w:val="00000000"/>
    <w:rsid w:val="0BE90D55"/>
    <w:rsid w:val="4BB62D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Calibri" w:hAnsi="Calibri" w:eastAsia="宋体" w:cs="宋体"/>
      <w:kern w:val="2"/>
      <w:sz w:val="21"/>
      <w:szCs w:val="24"/>
      <w:lang w:val="en-US" w:eastAsia="zh-CN" w:bidi="ar-SA"/>
    </w:rPr>
  </w:style>
  <w:style w:type="character" w:default="1" w:styleId="6">
    <w:name w:val="Default Paragraph Font"/>
    <w:semiHidden/>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Plain Text"/>
    <w:next w:val="3"/>
    <w:autoRedefine/>
    <w:qFormat/>
    <w:uiPriority w:val="0"/>
    <w:pPr>
      <w:widowControl w:val="0"/>
      <w:jc w:val="both"/>
    </w:pPr>
    <w:rPr>
      <w:rFonts w:ascii="宋体" w:hAnsi="Times New Roman" w:eastAsia="宋体" w:cs="Courier New"/>
      <w:kern w:val="2"/>
      <w:sz w:val="21"/>
      <w:szCs w:val="21"/>
      <w:lang w:val="en-US" w:eastAsia="zh-CN" w:bidi="ar-SA"/>
    </w:rPr>
  </w:style>
  <w:style w:type="paragraph" w:styleId="3">
    <w:name w:val="Normal (Web)"/>
    <w:basedOn w:val="1"/>
    <w:next w:val="4"/>
    <w:autoRedefine/>
    <w:unhideWhenUsed/>
    <w:qFormat/>
    <w:uiPriority w:val="99"/>
    <w:rPr>
      <w:rFonts w:ascii="Times New Roman" w:hAnsi="Times New Roman" w:cs="Times New Roman"/>
      <w:sz w:val="24"/>
    </w:rPr>
  </w:style>
  <w:style w:type="paragraph" w:styleId="4">
    <w:name w:val="footer"/>
    <w:basedOn w:val="1"/>
    <w:autoRedefine/>
    <w:qFormat/>
    <w:uiPriority w:val="99"/>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Administrator.2016-20170517BZ</dc:creator>
  <cp:lastModifiedBy>唐亚云</cp:lastModifiedBy>
  <dcterms:modified xsi:type="dcterms:W3CDTF">2024-05-15T03:33:18Z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4A904AD83CD04B58BB4BA8BFC40078BE_12</vt:lpwstr>
  </property>
</Properties>
</file>