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20" w:lineRule="exact"/>
        <w:rPr>
          <w:rFonts w:asci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eastAsia="黑体" w:cs="Times New Roman"/>
          <w:color w:val="000000"/>
          <w:kern w:val="0"/>
          <w:sz w:val="32"/>
          <w:szCs w:val="32"/>
          <w:lang w:val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-2219325</wp:posOffset>
                </wp:positionH>
                <wp:positionV relativeFrom="paragraph">
                  <wp:posOffset>-627380</wp:posOffset>
                </wp:positionV>
                <wp:extent cx="976630" cy="884555"/>
                <wp:effectExtent l="0" t="635" r="5207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-253561">
                          <a:off x="0" y="0"/>
                          <a:ext cx="976630" cy="884555"/>
                          <a:chOff x="-1909" y="9044"/>
                          <a:chExt cx="1539" cy="1393"/>
                        </a:xfrm>
                        <a:effectLst/>
                      </wpg:grpSpPr>
                      <wps:wsp>
                        <wps:cNvPr id="5" name="_s16 13"/>
                        <wps:cNvCnPr/>
                        <wps:spPr>
                          <a:xfrm>
                            <a:off x="-1150" y="9044"/>
                            <a:ext cx="780" cy="1393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" name="_s17 14"/>
                        <wps:cNvCnPr/>
                        <wps:spPr>
                          <a:xfrm>
                            <a:off x="-1909" y="9748"/>
                            <a:ext cx="1539" cy="68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74.75pt;margin-top:-49.4pt;height:69.65pt;width:76.9pt;rotation:-276956f;z-index:251659264;mso-width-relative:page;mso-height-relative:page;" coordorigin="-1909,9044" coordsize="1539,1393" o:gfxdata="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55V7KdoAAAAMAQAADwAAAAAAAAABACAAAAAiAAAAZHJzL2Rvd25yZXYueG1s&#10;UEsBAhQAFAAAAAgAh07iQCJ5eRahAgAASgcAAA4AAAAAAAAAAQAgAAAAKQEAAGRycy9lMm9Eb2Mu&#10;eG1sUEsFBgAAAAAGAAYAWQEAADwGAAAAAA==&#10;">
                <o:lock v:ext="edit" aspectratio="f"/>
                <v:line id="_s16 13" o:spid="_x0000_s1026" o:spt="20" style="position:absolute;left:-1150;top:9044;height:1393;width:780;" filled="f" stroked="t" coordsize="21600,21600" o:gfxdata="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Mtwq+W7AAAA2gAAAA8AAAAAAAAAAQAgAAAAOAAAAGRycy9kb3ducmV2Lnht&#10;bFBLAQIUABQAAAAIAIdO4kAzLwWeOwAAADkAAAAQAAAAAAAAAAEAIAAAACABAABkcnMvc2hhcGV4&#10;bWwueG1sUEsFBgAAAAAGAAYAWwEAAMoDAAAAAA==&#10;">
                  <v:path arrowok="t"/>
                  <v:fill on="f" focussize="0,0"/>
                  <v:stroke weight="0.5pt"/>
                  <v:imagedata o:title=""/>
                  <o:lock v:ext="edit" aspectratio="f"/>
                </v:line>
                <v:line id="_s17 14" o:spid="_x0000_s1026" o:spt="20" style="position:absolute;left:-1909;top:9748;height:689;width:1539;" filled="f" stroked="t" coordsize="21600,21600" o:gfxdata="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pDwOfroAAADaAAAADwAAAAAAAAABACAAAAA4AAAAZHJzL2Rvd25yZXYueG1s&#10;UEsBAhQAFAAAAAgAh07iQDMvBZ47AAAAOQAAABAAAAAAAAAAAQAgAAAAHwEAAGRycy9zaGFwZXht&#10;bC54bWxQSwUGAAAAAAYABgBbAQAAyQMAAAAA&#10;">
                  <v:path arrowok="t"/>
                  <v:fill on="f" focussize="0,0"/>
                  <v:stroke weight="0.5pt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Times New Roman" w:eastAsia="黑体" w:cs="Times New Roman"/>
          <w:color w:val="000000"/>
          <w:kern w:val="0"/>
          <w:sz w:val="32"/>
          <w:szCs w:val="32"/>
          <w:lang w:val="zh-CN"/>
        </w:rPr>
        <w:t>附件9</w:t>
      </w:r>
    </w:p>
    <w:p>
      <w:pPr>
        <w:pStyle w:val="2"/>
        <w:spacing w:line="500" w:lineRule="exact"/>
        <w:jc w:val="center"/>
        <w:rPr>
          <w:rFonts w:asci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</w:pPr>
      <w:r>
        <w:rPr>
          <w:rFonts w:asci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  <w:t>永州市征地范围内药材青苗补偿标准</w:t>
      </w:r>
    </w:p>
    <w:p>
      <w:pPr>
        <w:pStyle w:val="3"/>
        <w:widowControl w:val="0"/>
        <w:shd w:val="clear" w:color="auto" w:fill="FFFFFF"/>
        <w:spacing w:line="420" w:lineRule="exact"/>
        <w:jc w:val="center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                                        单位：元/亩</w:t>
      </w:r>
    </w:p>
    <w:tbl>
      <w:tblPr>
        <w:tblStyle w:val="5"/>
        <w:tblW w:w="85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109"/>
        <w:gridCol w:w="2288"/>
        <w:gridCol w:w="2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800" w:type="dxa"/>
            <w:vMerge w:val="restart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名 称</w:t>
            </w:r>
          </w:p>
        </w:tc>
        <w:tc>
          <w:tcPr>
            <w:tcW w:w="210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第一期</w:t>
            </w:r>
          </w:p>
        </w:tc>
        <w:tc>
          <w:tcPr>
            <w:tcW w:w="228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第二期</w:t>
            </w:r>
          </w:p>
        </w:tc>
        <w:tc>
          <w:tcPr>
            <w:tcW w:w="233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第三期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800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eastAsia="黑体" w:cs="Times New Roman"/>
                <w:color w:val="000000"/>
              </w:rPr>
            </w:pPr>
          </w:p>
        </w:tc>
        <w:tc>
          <w:tcPr>
            <w:tcW w:w="210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下种到苗出土期</w:t>
            </w:r>
          </w:p>
        </w:tc>
        <w:tc>
          <w:tcPr>
            <w:tcW w:w="228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生长管理期</w:t>
            </w:r>
          </w:p>
        </w:tc>
        <w:tc>
          <w:tcPr>
            <w:tcW w:w="233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接近收获期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半夏</w:t>
            </w:r>
          </w:p>
        </w:tc>
        <w:tc>
          <w:tcPr>
            <w:tcW w:w="210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3300</w:t>
            </w:r>
          </w:p>
        </w:tc>
        <w:tc>
          <w:tcPr>
            <w:tcW w:w="228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233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前胡</w:t>
            </w:r>
          </w:p>
        </w:tc>
        <w:tc>
          <w:tcPr>
            <w:tcW w:w="210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28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1600</w:t>
            </w:r>
          </w:p>
        </w:tc>
        <w:tc>
          <w:tcPr>
            <w:tcW w:w="233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200</w:t>
            </w:r>
            <w:bookmarkStart w:id="0" w:name="_GoBack"/>
            <w:bookmarkEnd w:id="0"/>
            <w:r>
              <w:rPr>
                <w:rFonts w:eastAsia="仿宋_GB2312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白术</w:t>
            </w:r>
          </w:p>
        </w:tc>
        <w:tc>
          <w:tcPr>
            <w:tcW w:w="210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3300</w:t>
            </w:r>
          </w:p>
        </w:tc>
        <w:tc>
          <w:tcPr>
            <w:tcW w:w="228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4700</w:t>
            </w:r>
          </w:p>
        </w:tc>
        <w:tc>
          <w:tcPr>
            <w:tcW w:w="233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黄柏</w:t>
            </w:r>
          </w:p>
        </w:tc>
        <w:tc>
          <w:tcPr>
            <w:tcW w:w="210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1700</w:t>
            </w:r>
          </w:p>
        </w:tc>
        <w:tc>
          <w:tcPr>
            <w:tcW w:w="228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2100</w:t>
            </w:r>
          </w:p>
        </w:tc>
        <w:tc>
          <w:tcPr>
            <w:tcW w:w="233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2700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荆芥</w:t>
            </w:r>
          </w:p>
        </w:tc>
        <w:tc>
          <w:tcPr>
            <w:tcW w:w="210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228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1900</w:t>
            </w:r>
          </w:p>
        </w:tc>
        <w:tc>
          <w:tcPr>
            <w:tcW w:w="233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桔梗</w:t>
            </w:r>
          </w:p>
        </w:tc>
        <w:tc>
          <w:tcPr>
            <w:tcW w:w="210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1700</w:t>
            </w:r>
          </w:p>
        </w:tc>
        <w:tc>
          <w:tcPr>
            <w:tcW w:w="228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2100</w:t>
            </w:r>
          </w:p>
        </w:tc>
        <w:tc>
          <w:tcPr>
            <w:tcW w:w="233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南沙参</w:t>
            </w:r>
          </w:p>
        </w:tc>
        <w:tc>
          <w:tcPr>
            <w:tcW w:w="210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228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233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白花蛇舌草</w:t>
            </w:r>
          </w:p>
        </w:tc>
        <w:tc>
          <w:tcPr>
            <w:tcW w:w="210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228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233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栀子</w:t>
            </w:r>
          </w:p>
        </w:tc>
        <w:tc>
          <w:tcPr>
            <w:tcW w:w="210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228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33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川牛膝</w:t>
            </w:r>
          </w:p>
        </w:tc>
        <w:tc>
          <w:tcPr>
            <w:tcW w:w="210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1900</w:t>
            </w:r>
          </w:p>
        </w:tc>
        <w:tc>
          <w:tcPr>
            <w:tcW w:w="228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3200</w:t>
            </w:r>
          </w:p>
        </w:tc>
        <w:tc>
          <w:tcPr>
            <w:tcW w:w="233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4700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百合</w:t>
            </w:r>
          </w:p>
        </w:tc>
        <w:tc>
          <w:tcPr>
            <w:tcW w:w="210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4300</w:t>
            </w:r>
          </w:p>
        </w:tc>
        <w:tc>
          <w:tcPr>
            <w:tcW w:w="228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5800</w:t>
            </w:r>
          </w:p>
        </w:tc>
        <w:tc>
          <w:tcPr>
            <w:tcW w:w="233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金银花</w:t>
            </w:r>
          </w:p>
        </w:tc>
        <w:tc>
          <w:tcPr>
            <w:tcW w:w="210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28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1700</w:t>
            </w:r>
          </w:p>
        </w:tc>
        <w:tc>
          <w:tcPr>
            <w:tcW w:w="233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玉竹</w:t>
            </w:r>
          </w:p>
        </w:tc>
        <w:tc>
          <w:tcPr>
            <w:tcW w:w="210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4300</w:t>
            </w:r>
          </w:p>
        </w:tc>
        <w:tc>
          <w:tcPr>
            <w:tcW w:w="228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5800</w:t>
            </w:r>
          </w:p>
        </w:tc>
        <w:tc>
          <w:tcPr>
            <w:tcW w:w="233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黄花</w:t>
            </w:r>
          </w:p>
        </w:tc>
        <w:tc>
          <w:tcPr>
            <w:tcW w:w="2109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228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233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8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6735" w:type="dxa"/>
            <w:gridSpan w:val="3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widowControl w:val="0"/>
              <w:spacing w:line="4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1.成片种植的药材，区分不同的生长期予以补偿。</w:t>
            </w:r>
          </w:p>
          <w:p>
            <w:pPr>
              <w:pStyle w:val="3"/>
              <w:widowControl w:val="0"/>
              <w:spacing w:line="4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2.其他普通药材按1200-2200元/亩补偿，名贵药材（销售价格等于或高于白术、半夏价格的药材），按4000-6000元/亩补偿。</w:t>
            </w:r>
          </w:p>
        </w:tc>
      </w:tr>
    </w:tbl>
    <w:p>
      <w:pPr>
        <w:pStyle w:val="2"/>
        <w:spacing w:line="520" w:lineRule="exact"/>
        <w:rPr>
          <w:rFonts w:ascii="Times New Roman" w:eastAsia="黑体" w:cs="Times New Roman"/>
          <w:color w:val="000000"/>
          <w:kern w:val="0"/>
          <w:sz w:val="32"/>
          <w:szCs w:val="32"/>
          <w:lang w:val="zh-CN"/>
        </w:rPr>
      </w:pPr>
    </w:p>
    <w:p/>
    <w:sectPr>
      <w:pgSz w:w="11906" w:h="16838"/>
      <w:pgMar w:top="175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Dk4MTMzNGNiNmU5OWIyZDkyZTk2ZDNkMzdjZjgifQ=="/>
  </w:docVars>
  <w:rsids>
    <w:rsidRoot w:val="00000000"/>
    <w:rsid w:val="4934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3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next w:val="4"/>
    <w:unhideWhenUsed/>
    <w:qFormat/>
    <w:uiPriority w:val="99"/>
    <w:rPr>
      <w:rFonts w:ascii="Times New Roman" w:hAnsi="Times New Roman" w:cs="Times New Roman"/>
      <w:sz w:val="24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唐亚云</cp:lastModifiedBy>
  <dcterms:modified xsi:type="dcterms:W3CDTF">2024-05-15T03:08:00Z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713617EF14DB48118CA04D8320D8711B_12</vt:lpwstr>
  </property>
</Properties>
</file>